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457F73" w:rsidRDefault="00A01F5F"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 xml:space="preserve">3GPP TSG RAN WG4 Meeting </w:t>
      </w:r>
      <w:r w:rsidR="001A7594">
        <w:rPr>
          <w:rFonts w:ascii="Arial" w:hAnsi="Arial" w:cs="Arial"/>
          <w:sz w:val="24"/>
          <w:szCs w:val="28"/>
          <w:lang w:val="en-CA"/>
        </w:rPr>
        <w:t>#84</w:t>
      </w:r>
      <w:r w:rsidR="00EA6D9B">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03E64">
        <w:rPr>
          <w:rFonts w:ascii="Arial" w:hAnsi="Arial" w:cs="Arial"/>
          <w:sz w:val="24"/>
          <w:szCs w:val="28"/>
          <w:lang w:val="en-CA"/>
        </w:rPr>
        <w:t>1711457</w:t>
      </w:r>
    </w:p>
    <w:p w:rsidR="00D80957" w:rsidRPr="00457F73" w:rsidRDefault="00EA6D9B"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Dubrovnik, Croatia, </w:t>
      </w:r>
      <w:r w:rsidR="0035114E">
        <w:rPr>
          <w:rFonts w:ascii="Arial" w:hAnsi="Arial" w:cs="Arial"/>
          <w:sz w:val="24"/>
          <w:szCs w:val="28"/>
          <w:lang w:val="en-CA"/>
        </w:rPr>
        <w:t>October 9 – 13, 2017</w:t>
      </w:r>
    </w:p>
    <w:p w:rsidR="00D80957" w:rsidRPr="009F66AC" w:rsidRDefault="00D80957" w:rsidP="0033186E">
      <w:pPr>
        <w:tabs>
          <w:tab w:val="left" w:pos="1985"/>
        </w:tabs>
        <w:spacing w:before="240" w:after="0"/>
        <w:jc w:val="both"/>
        <w:rPr>
          <w:rFonts w:ascii="Arial" w:hAnsi="Arial" w:cs="Arial"/>
          <w:bCs/>
          <w:sz w:val="22"/>
          <w:szCs w:val="22"/>
          <w:lang w:val="en-US"/>
        </w:rPr>
      </w:pPr>
      <w:r w:rsidRPr="009F66AC">
        <w:rPr>
          <w:rFonts w:ascii="Arial" w:hAnsi="Arial" w:cs="Arial"/>
          <w:b/>
          <w:sz w:val="22"/>
          <w:szCs w:val="22"/>
          <w:lang w:val="en-US"/>
        </w:rPr>
        <w:t>Agenda Item:</w:t>
      </w:r>
      <w:r w:rsidRPr="009F66AC">
        <w:rPr>
          <w:rFonts w:ascii="Arial" w:hAnsi="Arial" w:cs="Arial"/>
          <w:b/>
          <w:sz w:val="22"/>
          <w:szCs w:val="22"/>
          <w:lang w:val="en-US"/>
        </w:rPr>
        <w:tab/>
      </w:r>
      <w:r w:rsidR="00CD109E" w:rsidRPr="00CD109E">
        <w:rPr>
          <w:rFonts w:ascii="Arial" w:hAnsi="Arial" w:cs="Arial"/>
          <w:sz w:val="22"/>
          <w:szCs w:val="22"/>
          <w:lang w:val="en-US"/>
        </w:rPr>
        <w:t>9.7.5</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FC22F7">
        <w:rPr>
          <w:rFonts w:ascii="Arial" w:hAnsi="Arial" w:cs="Arial"/>
          <w:sz w:val="22"/>
          <w:szCs w:val="22"/>
          <w:lang w:val="en-CA"/>
        </w:rPr>
        <w:t>S</w:t>
      </w:r>
      <w:r w:rsidR="00C07A9D">
        <w:rPr>
          <w:rFonts w:ascii="Arial" w:hAnsi="Arial" w:cs="Arial"/>
          <w:sz w:val="22"/>
          <w:szCs w:val="22"/>
          <w:lang w:val="en-CA"/>
        </w:rPr>
        <w:t>S</w:t>
      </w:r>
      <w:r w:rsidR="00903F0D">
        <w:rPr>
          <w:rFonts w:ascii="Arial" w:hAnsi="Arial" w:cs="Arial"/>
          <w:sz w:val="22"/>
          <w:szCs w:val="22"/>
          <w:lang w:val="en-CA"/>
        </w:rPr>
        <w:t xml:space="preserve">TTD reporting </w:t>
      </w:r>
      <w:r w:rsidR="009F0F28">
        <w:rPr>
          <w:rFonts w:ascii="Arial" w:hAnsi="Arial" w:cs="Arial"/>
          <w:sz w:val="22"/>
          <w:szCs w:val="22"/>
          <w:lang w:val="en-CA"/>
        </w:rPr>
        <w:t>in NSA</w:t>
      </w:r>
      <w:r w:rsidR="00165A6F">
        <w:rPr>
          <w:rFonts w:ascii="Arial" w:hAnsi="Arial" w:cs="Arial"/>
          <w:sz w:val="22"/>
          <w:szCs w:val="22"/>
          <w:lang w:val="en-CA"/>
        </w:rPr>
        <w:t xml:space="preserve"> NR</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Pr="00457F73"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EA6D9B" w:rsidRPr="00EA6D9B" w:rsidRDefault="00EA6D9B" w:rsidP="00BD2156">
      <w:pPr>
        <w:jc w:val="both"/>
        <w:rPr>
          <w:i/>
          <w:sz w:val="22"/>
          <w:szCs w:val="22"/>
          <w:lang w:val="en-CA"/>
        </w:rPr>
      </w:pPr>
      <w:r>
        <w:rPr>
          <w:i/>
          <w:sz w:val="22"/>
          <w:szCs w:val="22"/>
          <w:lang w:val="en-CA"/>
        </w:rPr>
        <w:t xml:space="preserve">This contribution is a resubmission of </w:t>
      </w:r>
      <w:r>
        <w:rPr>
          <w:i/>
          <w:sz w:val="22"/>
          <w:szCs w:val="22"/>
          <w:lang w:val="en-CA"/>
        </w:rPr>
        <w:fldChar w:fldCharType="begin"/>
      </w:r>
      <w:r>
        <w:rPr>
          <w:i/>
          <w:sz w:val="22"/>
          <w:szCs w:val="22"/>
          <w:lang w:val="en-CA"/>
        </w:rPr>
        <w:instrText xml:space="preserve"> REF _Ref494480022 \r \h </w:instrText>
      </w:r>
      <w:r>
        <w:rPr>
          <w:i/>
          <w:sz w:val="22"/>
          <w:szCs w:val="22"/>
          <w:lang w:val="en-CA"/>
        </w:rPr>
      </w:r>
      <w:r>
        <w:rPr>
          <w:i/>
          <w:sz w:val="22"/>
          <w:szCs w:val="22"/>
          <w:lang w:val="en-CA"/>
        </w:rPr>
        <w:fldChar w:fldCharType="separate"/>
      </w:r>
      <w:r w:rsidR="009B1F36">
        <w:rPr>
          <w:i/>
          <w:sz w:val="22"/>
          <w:szCs w:val="22"/>
          <w:lang w:val="en-CA"/>
        </w:rPr>
        <w:t>[6]</w:t>
      </w:r>
      <w:r>
        <w:rPr>
          <w:i/>
          <w:sz w:val="22"/>
          <w:szCs w:val="22"/>
          <w:lang w:val="en-CA"/>
        </w:rPr>
        <w:fldChar w:fldCharType="end"/>
      </w:r>
      <w:r>
        <w:rPr>
          <w:i/>
          <w:sz w:val="22"/>
          <w:szCs w:val="22"/>
          <w:lang w:val="en-CA"/>
        </w:rPr>
        <w:t xml:space="preserve"> from RAN4#84. </w:t>
      </w:r>
    </w:p>
    <w:p w:rsidR="00200350" w:rsidRDefault="0040533F" w:rsidP="00BD2156">
      <w:pPr>
        <w:jc w:val="both"/>
        <w:rPr>
          <w:sz w:val="22"/>
          <w:szCs w:val="22"/>
          <w:lang w:val="en-CA"/>
        </w:rPr>
      </w:pPr>
      <w:r>
        <w:rPr>
          <w:sz w:val="22"/>
          <w:szCs w:val="22"/>
          <w:lang w:val="en-CA"/>
        </w:rPr>
        <w:t>In several markets, the e</w:t>
      </w:r>
      <w:r w:rsidR="00004E69">
        <w:rPr>
          <w:sz w:val="22"/>
          <w:szCs w:val="22"/>
          <w:lang w:val="en-CA"/>
        </w:rPr>
        <w:t>arly deployment of NR is foreseen to rely on extensions of the LTE evolved packet core (EPC), with UEs being connected simultaneously to an LTE PCell and a NR PS</w:t>
      </w:r>
      <w:r w:rsidR="009F0F28">
        <w:rPr>
          <w:sz w:val="22"/>
          <w:szCs w:val="22"/>
          <w:lang w:val="en-CA"/>
        </w:rPr>
        <w:t xml:space="preserve">Cell in dual connectivity (DC) in what is referred to as </w:t>
      </w:r>
      <w:r>
        <w:rPr>
          <w:sz w:val="22"/>
          <w:szCs w:val="22"/>
          <w:lang w:val="en-CA"/>
        </w:rPr>
        <w:t>non-standalone (</w:t>
      </w:r>
      <w:r w:rsidR="009F0F28">
        <w:rPr>
          <w:sz w:val="22"/>
          <w:szCs w:val="22"/>
          <w:lang w:val="en-CA"/>
        </w:rPr>
        <w:t>NSA</w:t>
      </w:r>
      <w:r>
        <w:rPr>
          <w:sz w:val="22"/>
          <w:szCs w:val="22"/>
          <w:lang w:val="en-CA"/>
        </w:rPr>
        <w:t>)</w:t>
      </w:r>
      <w:r w:rsidR="009F0F28">
        <w:rPr>
          <w:sz w:val="22"/>
          <w:szCs w:val="22"/>
          <w:lang w:val="en-CA"/>
        </w:rPr>
        <w:t xml:space="preserve"> </w:t>
      </w:r>
      <w:r w:rsidR="00500535">
        <w:rPr>
          <w:sz w:val="22"/>
          <w:szCs w:val="22"/>
          <w:lang w:val="en-CA"/>
        </w:rPr>
        <w:t>NR</w:t>
      </w:r>
      <w:r w:rsidR="009F0F28">
        <w:rPr>
          <w:sz w:val="22"/>
          <w:szCs w:val="22"/>
          <w:lang w:val="en-CA"/>
        </w:rPr>
        <w:t xml:space="preserve"> deployment.</w:t>
      </w:r>
    </w:p>
    <w:p w:rsidR="00500535" w:rsidRDefault="00200350" w:rsidP="00BD2156">
      <w:pPr>
        <w:jc w:val="both"/>
        <w:rPr>
          <w:sz w:val="22"/>
          <w:szCs w:val="22"/>
          <w:lang w:val="en-CA"/>
        </w:rPr>
      </w:pPr>
      <w:r>
        <w:rPr>
          <w:sz w:val="22"/>
          <w:szCs w:val="22"/>
          <w:lang w:val="en-CA"/>
        </w:rPr>
        <w:t xml:space="preserve">At the RAN4 NR#2 ad hoc meeting we </w:t>
      </w:r>
      <w:r w:rsidR="00500535">
        <w:rPr>
          <w:sz w:val="22"/>
          <w:szCs w:val="22"/>
          <w:lang w:val="en-CA"/>
        </w:rPr>
        <w:t xml:space="preserve">pointed out that PCell and PSCell time difference reporting will be needed in NSA NR of </w:t>
      </w:r>
      <w:r w:rsidR="0040533F">
        <w:rPr>
          <w:sz w:val="22"/>
          <w:szCs w:val="22"/>
          <w:lang w:val="en-CA"/>
        </w:rPr>
        <w:t xml:space="preserve">the </w:t>
      </w:r>
      <w:r w:rsidR="00500535">
        <w:rPr>
          <w:sz w:val="22"/>
          <w:szCs w:val="22"/>
          <w:lang w:val="en-CA"/>
        </w:rPr>
        <w:t xml:space="preserve">same reasons as </w:t>
      </w:r>
      <w:r w:rsidR="00585490">
        <w:rPr>
          <w:sz w:val="22"/>
          <w:szCs w:val="22"/>
          <w:lang w:val="en-CA"/>
        </w:rPr>
        <w:t xml:space="preserve">it is needed </w:t>
      </w:r>
      <w:r w:rsidR="00500535">
        <w:rPr>
          <w:sz w:val="22"/>
          <w:szCs w:val="22"/>
          <w:lang w:val="en-CA"/>
        </w:rPr>
        <w:t xml:space="preserve">in LTE DC, but that the reporting format will have to be adapted </w:t>
      </w:r>
      <w:r>
        <w:rPr>
          <w:sz w:val="22"/>
          <w:szCs w:val="22"/>
          <w:lang w:val="en-CA"/>
        </w:rPr>
        <w:fldChar w:fldCharType="begin"/>
      </w:r>
      <w:r>
        <w:rPr>
          <w:sz w:val="22"/>
          <w:szCs w:val="22"/>
          <w:lang w:val="en-CA"/>
        </w:rPr>
        <w:instrText xml:space="preserve"> REF _Ref488830855 \r \h </w:instrText>
      </w:r>
      <w:r>
        <w:rPr>
          <w:sz w:val="22"/>
          <w:szCs w:val="22"/>
          <w:lang w:val="en-CA"/>
        </w:rPr>
      </w:r>
      <w:r>
        <w:rPr>
          <w:sz w:val="22"/>
          <w:szCs w:val="22"/>
          <w:lang w:val="en-CA"/>
        </w:rPr>
        <w:fldChar w:fldCharType="separate"/>
      </w:r>
      <w:r w:rsidR="009B1F36">
        <w:rPr>
          <w:sz w:val="22"/>
          <w:szCs w:val="22"/>
          <w:lang w:val="en-CA"/>
        </w:rPr>
        <w:t>[5]</w:t>
      </w:r>
      <w:r>
        <w:rPr>
          <w:sz w:val="22"/>
          <w:szCs w:val="22"/>
          <w:lang w:val="en-CA"/>
        </w:rPr>
        <w:fldChar w:fldCharType="end"/>
      </w:r>
      <w:r w:rsidR="00500535">
        <w:rPr>
          <w:sz w:val="22"/>
          <w:szCs w:val="22"/>
          <w:lang w:val="en-CA"/>
        </w:rPr>
        <w:t>. Without such reporting, scheduling opportunities will be lost, resulting in a lower UE throughput than otherwise achievable. No agreement was reached, most likely due to that time was short and companies had not had time to look into the consequences of not having time difference reporting. At the meeting, there was also a misconception from some companies on that this would require a new type of measurement compared to LT</w:t>
      </w:r>
      <w:r w:rsidR="004A6978">
        <w:rPr>
          <w:sz w:val="22"/>
          <w:szCs w:val="22"/>
          <w:lang w:val="en-CA"/>
        </w:rPr>
        <w:t>E DC SS</w:t>
      </w:r>
      <w:r w:rsidR="00500535">
        <w:rPr>
          <w:sz w:val="22"/>
          <w:szCs w:val="22"/>
          <w:lang w:val="en-CA"/>
        </w:rPr>
        <w:t xml:space="preserve">TD, when in fact it is about adapting the format of the time difference reporting to suit the combination of LTE and NR in dual connectivity. </w:t>
      </w:r>
    </w:p>
    <w:p w:rsidR="00FC22F7" w:rsidRDefault="00585490" w:rsidP="00BD2156">
      <w:pPr>
        <w:jc w:val="both"/>
        <w:rPr>
          <w:sz w:val="22"/>
          <w:szCs w:val="22"/>
          <w:lang w:val="en-CA"/>
        </w:rPr>
      </w:pPr>
      <w:r>
        <w:rPr>
          <w:sz w:val="22"/>
          <w:szCs w:val="22"/>
          <w:lang w:val="en-CA"/>
        </w:rPr>
        <w:t xml:space="preserve">In this contribution, we have added a justification of why SSTD reporting is needed for scheduling decisions in LTE DC, and why time difference reporting will be needed also in LTE-NR DC a.k.a. NSA NR. A reporting format </w:t>
      </w:r>
      <w:r w:rsidRPr="00585490">
        <w:rPr>
          <w:sz w:val="22"/>
          <w:szCs w:val="22"/>
          <w:lang w:val="en-CA"/>
        </w:rPr>
        <w:t xml:space="preserve">for </w:t>
      </w:r>
      <w:r w:rsidR="00DC2E80" w:rsidRPr="00585490">
        <w:rPr>
          <w:sz w:val="22"/>
          <w:szCs w:val="22"/>
          <w:lang w:val="en-CA"/>
        </w:rPr>
        <w:t xml:space="preserve">SFN, </w:t>
      </w:r>
      <w:r w:rsidR="007A5C1C" w:rsidRPr="00585490">
        <w:rPr>
          <w:sz w:val="22"/>
          <w:szCs w:val="22"/>
          <w:lang w:val="en-CA"/>
        </w:rPr>
        <w:t xml:space="preserve">subframe </w:t>
      </w:r>
      <w:r w:rsidR="00DC2E80" w:rsidRPr="00585490">
        <w:rPr>
          <w:sz w:val="22"/>
          <w:szCs w:val="22"/>
          <w:lang w:val="en-CA"/>
        </w:rPr>
        <w:t xml:space="preserve">and </w:t>
      </w:r>
      <w:r w:rsidR="007A5C1C" w:rsidRPr="00585490">
        <w:rPr>
          <w:sz w:val="22"/>
          <w:szCs w:val="22"/>
          <w:lang w:val="en-CA"/>
        </w:rPr>
        <w:t>time difference (SS</w:t>
      </w:r>
      <w:r w:rsidR="00DC2E80" w:rsidRPr="00585490">
        <w:rPr>
          <w:sz w:val="22"/>
          <w:szCs w:val="22"/>
          <w:lang w:val="en-CA"/>
        </w:rPr>
        <w:t xml:space="preserve">TTD) </w:t>
      </w:r>
      <w:r w:rsidRPr="0040533F">
        <w:rPr>
          <w:sz w:val="22"/>
          <w:szCs w:val="22"/>
          <w:lang w:val="en-CA"/>
        </w:rPr>
        <w:t xml:space="preserve">that accommodates the </w:t>
      </w:r>
      <w:r>
        <w:rPr>
          <w:sz w:val="22"/>
          <w:szCs w:val="22"/>
          <w:lang w:val="en-CA"/>
        </w:rPr>
        <w:t>special needs of</w:t>
      </w:r>
      <w:r w:rsidR="004A6978">
        <w:rPr>
          <w:sz w:val="22"/>
          <w:szCs w:val="22"/>
          <w:lang w:val="en-CA"/>
        </w:rPr>
        <w:t xml:space="preserve"> NSA NR deployments is proposed.</w:t>
      </w:r>
    </w:p>
    <w:p w:rsidR="0070458B" w:rsidRDefault="0070458B" w:rsidP="004F5AC7">
      <w:pPr>
        <w:pStyle w:val="Heading1"/>
        <w:ind w:left="431" w:hanging="431"/>
        <w:rPr>
          <w:szCs w:val="36"/>
          <w:lang w:val="en-CA"/>
        </w:rPr>
      </w:pPr>
      <w:r>
        <w:rPr>
          <w:szCs w:val="36"/>
          <w:lang w:val="en-CA"/>
        </w:rPr>
        <w:t>Justification</w:t>
      </w:r>
      <w:r w:rsidR="00D744AA">
        <w:rPr>
          <w:szCs w:val="36"/>
          <w:lang w:val="en-CA"/>
        </w:rPr>
        <w:t xml:space="preserve"> of SSTD and SSTTD reporting</w:t>
      </w:r>
    </w:p>
    <w:p w:rsidR="00F71714" w:rsidRDefault="007D7031" w:rsidP="0040533F">
      <w:pPr>
        <w:jc w:val="both"/>
        <w:rPr>
          <w:sz w:val="22"/>
          <w:lang w:val="en-CA"/>
        </w:rPr>
      </w:pPr>
      <w:r>
        <w:rPr>
          <w:sz w:val="22"/>
          <w:lang w:val="en-CA"/>
        </w:rPr>
        <w:t>For sub</w:t>
      </w:r>
      <w:r w:rsidR="00DC29D3">
        <w:rPr>
          <w:sz w:val="22"/>
          <w:lang w:val="en-CA"/>
        </w:rPr>
        <w:t>-</w:t>
      </w:r>
      <w:r>
        <w:rPr>
          <w:sz w:val="22"/>
          <w:lang w:val="en-CA"/>
        </w:rPr>
        <w:t xml:space="preserve">6GHz NSA </w:t>
      </w:r>
      <w:r w:rsidR="00FE1935">
        <w:rPr>
          <w:sz w:val="22"/>
          <w:lang w:val="en-CA"/>
        </w:rPr>
        <w:t xml:space="preserve">NR </w:t>
      </w:r>
      <w:r>
        <w:rPr>
          <w:sz w:val="22"/>
          <w:lang w:val="en-CA"/>
        </w:rPr>
        <w:t xml:space="preserve">deployment, radio transceiver </w:t>
      </w:r>
      <w:r w:rsidR="00DC29D3">
        <w:rPr>
          <w:sz w:val="22"/>
          <w:lang w:val="en-CA"/>
        </w:rPr>
        <w:t>architecture is likely to be similar to that of LTE DC,</w:t>
      </w:r>
      <w:r w:rsidR="00F71714">
        <w:rPr>
          <w:sz w:val="22"/>
          <w:lang w:val="en-CA"/>
        </w:rPr>
        <w:t xml:space="preserve"> hence the same challenges as experienced</w:t>
      </w:r>
      <w:r w:rsidR="00DC29D3">
        <w:rPr>
          <w:sz w:val="22"/>
          <w:lang w:val="en-CA"/>
        </w:rPr>
        <w:t xml:space="preserve"> for LTE CA and LTE DC are anticipated.</w:t>
      </w:r>
      <w:r w:rsidR="00F71714">
        <w:rPr>
          <w:sz w:val="22"/>
          <w:lang w:val="en-CA"/>
        </w:rPr>
        <w:t xml:space="preserve"> The challenges </w:t>
      </w:r>
      <w:r w:rsidR="00DC29D3">
        <w:rPr>
          <w:sz w:val="22"/>
          <w:lang w:val="en-CA"/>
        </w:rPr>
        <w:t>include pull effects and interference by harmonics of local oscillators.</w:t>
      </w:r>
      <w:r w:rsidR="00F71714">
        <w:rPr>
          <w:sz w:val="22"/>
          <w:lang w:val="en-CA"/>
        </w:rPr>
        <w:t xml:space="preserve"> </w:t>
      </w:r>
    </w:p>
    <w:p w:rsidR="00602F52" w:rsidRPr="0024207B" w:rsidRDefault="00F71714" w:rsidP="0040533F">
      <w:pPr>
        <w:jc w:val="both"/>
        <w:rPr>
          <w:sz w:val="22"/>
          <w:lang w:val="en-CA"/>
        </w:rPr>
      </w:pPr>
      <w:r>
        <w:rPr>
          <w:sz w:val="22"/>
          <w:lang w:val="en-CA"/>
        </w:rPr>
        <w:t xml:space="preserve">In LTE </w:t>
      </w:r>
      <w:r w:rsidR="00105300">
        <w:rPr>
          <w:sz w:val="22"/>
          <w:lang w:val="en-CA"/>
        </w:rPr>
        <w:t xml:space="preserve">DC </w:t>
      </w:r>
      <w:r>
        <w:rPr>
          <w:sz w:val="22"/>
          <w:lang w:val="en-CA"/>
        </w:rPr>
        <w:t xml:space="preserve">those challenges were addressed by allowing interruptions on one or more radio transceiver chains other than the one being reconfigured. The </w:t>
      </w:r>
      <w:r w:rsidR="00D86753">
        <w:rPr>
          <w:sz w:val="22"/>
          <w:lang w:val="en-CA"/>
        </w:rPr>
        <w:t xml:space="preserve">allowed </w:t>
      </w:r>
      <w:r>
        <w:rPr>
          <w:sz w:val="22"/>
          <w:lang w:val="en-CA"/>
        </w:rPr>
        <w:t>duration</w:t>
      </w:r>
      <w:r w:rsidR="00D86753">
        <w:rPr>
          <w:sz w:val="22"/>
          <w:lang w:val="en-CA"/>
        </w:rPr>
        <w:t xml:space="preserve"> of the interruptions – expressed in TTIs (i.e. LTE subframes) – is</w:t>
      </w:r>
      <w:r>
        <w:rPr>
          <w:sz w:val="22"/>
          <w:lang w:val="en-CA"/>
        </w:rPr>
        <w:t xml:space="preserve"> taking physical limitations such as PLL stabilization time</w:t>
      </w:r>
      <w:r w:rsidR="0040533F">
        <w:rPr>
          <w:sz w:val="22"/>
          <w:lang w:val="en-CA"/>
        </w:rPr>
        <w:t xml:space="preserve"> into account</w:t>
      </w:r>
      <w:r w:rsidR="00D86753">
        <w:rPr>
          <w:sz w:val="22"/>
          <w:lang w:val="en-CA"/>
        </w:rPr>
        <w:t>. The allowed duration of the interruptions further depends on whether two or more carriers are synchronous or asynchronous to each othe</w:t>
      </w:r>
      <w:r w:rsidR="0040533F">
        <w:rPr>
          <w:sz w:val="22"/>
          <w:lang w:val="en-CA"/>
        </w:rPr>
        <w:t>r from UE point of view</w:t>
      </w:r>
      <w:r w:rsidR="00D86753">
        <w:rPr>
          <w:sz w:val="22"/>
          <w:lang w:val="en-CA"/>
        </w:rPr>
        <w:t>. If the carriers are in asynchronous operation, the allowed interruption duration is extended by one additional TTI compared to that of synchronous operation.</w:t>
      </w:r>
    </w:p>
    <w:p w:rsidR="00C900A2" w:rsidRDefault="00D86753" w:rsidP="0040533F">
      <w:pPr>
        <w:jc w:val="both"/>
        <w:rPr>
          <w:sz w:val="22"/>
          <w:szCs w:val="22"/>
          <w:lang w:val="en-CA"/>
        </w:rPr>
      </w:pPr>
      <w:r>
        <w:rPr>
          <w:sz w:val="22"/>
          <w:lang w:val="en-CA"/>
        </w:rPr>
        <w:t xml:space="preserve">Particularly for </w:t>
      </w:r>
      <w:r w:rsidR="00105300">
        <w:rPr>
          <w:sz w:val="22"/>
          <w:lang w:val="en-CA"/>
        </w:rPr>
        <w:t xml:space="preserve">scheduled gaps such as measurement gaps, </w:t>
      </w:r>
      <w:r w:rsidR="00105300" w:rsidRPr="00591348">
        <w:rPr>
          <w:sz w:val="22"/>
          <w:lang w:val="en-CA"/>
        </w:rPr>
        <w:t xml:space="preserve">optimum PSCell scheduling of the UE depends on whether the PCell and PSCell are </w:t>
      </w:r>
      <w:r w:rsidR="00105300">
        <w:rPr>
          <w:sz w:val="22"/>
          <w:lang w:val="en-CA"/>
        </w:rPr>
        <w:t xml:space="preserve">operating </w:t>
      </w:r>
      <w:r w:rsidR="00105300" w:rsidRPr="00591348">
        <w:rPr>
          <w:sz w:val="22"/>
          <w:lang w:val="en-CA"/>
        </w:rPr>
        <w:t>synchronous</w:t>
      </w:r>
      <w:r w:rsidR="00105300">
        <w:rPr>
          <w:sz w:val="22"/>
          <w:lang w:val="en-CA"/>
        </w:rPr>
        <w:t>ly</w:t>
      </w:r>
      <w:r w:rsidR="00105300" w:rsidRPr="00591348">
        <w:rPr>
          <w:sz w:val="22"/>
          <w:lang w:val="en-CA"/>
        </w:rPr>
        <w:t xml:space="preserve"> or asynchronous</w:t>
      </w:r>
      <w:r w:rsidR="00105300">
        <w:rPr>
          <w:sz w:val="22"/>
          <w:lang w:val="en-CA"/>
        </w:rPr>
        <w:t>ly</w:t>
      </w:r>
      <w:r w:rsidR="009E76E6">
        <w:rPr>
          <w:sz w:val="22"/>
          <w:lang w:val="en-CA"/>
        </w:rPr>
        <w:t>, and for the latter, whether PSCell leads or lags to the PCell timing-wise</w:t>
      </w:r>
      <w:r w:rsidR="001D385F">
        <w:rPr>
          <w:sz w:val="22"/>
          <w:lang w:val="en-CA"/>
        </w:rPr>
        <w:t xml:space="preserve">; </w:t>
      </w:r>
      <w:r w:rsidR="001D385F" w:rsidRPr="0024207B">
        <w:rPr>
          <w:sz w:val="22"/>
          <w:szCs w:val="22"/>
          <w:lang w:val="en-CA"/>
        </w:rPr>
        <w:t>see</w:t>
      </w:r>
      <w:r w:rsidR="00C900A2">
        <w:rPr>
          <w:sz w:val="22"/>
          <w:szCs w:val="22"/>
          <w:lang w:val="en-CA"/>
        </w:rPr>
        <w:t xml:space="preserve"> Figure 1.</w:t>
      </w:r>
    </w:p>
    <w:p w:rsidR="00C900A2" w:rsidRDefault="00C900A2" w:rsidP="0040533F">
      <w:pPr>
        <w:jc w:val="center"/>
        <w:rPr>
          <w:sz w:val="22"/>
          <w:szCs w:val="22"/>
          <w:lang w:val="en-CA"/>
        </w:rPr>
      </w:pPr>
      <w:r>
        <w:rPr>
          <w:noProof/>
          <w:sz w:val="22"/>
          <w:szCs w:val="22"/>
          <w:lang w:val="en-US"/>
        </w:rPr>
        <w:lastRenderedPageBreak/>
        <w:drawing>
          <wp:inline distT="0" distB="0" distL="0" distR="0" wp14:anchorId="04963D5C">
            <wp:extent cx="4085590" cy="365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
                      <a:extLst>
                        <a:ext uri="{28A0092B-C50C-407E-A947-70E740481C1C}">
                          <a14:useLocalDpi xmlns:a14="http://schemas.microsoft.com/office/drawing/2010/main" val="0"/>
                        </a:ext>
                      </a:extLst>
                    </a:blip>
                    <a:srcRect t="1" b="34238"/>
                    <a:stretch/>
                  </pic:blipFill>
                  <pic:spPr bwMode="auto">
                    <a:xfrm>
                      <a:off x="0" y="0"/>
                      <a:ext cx="4085590" cy="3657600"/>
                    </a:xfrm>
                    <a:prstGeom prst="rect">
                      <a:avLst/>
                    </a:prstGeom>
                    <a:noFill/>
                    <a:ln>
                      <a:noFill/>
                    </a:ln>
                    <a:extLst>
                      <a:ext uri="{53640926-AAD7-44D8-BBD7-CCE9431645EC}">
                        <a14:shadowObscured xmlns:a14="http://schemas.microsoft.com/office/drawing/2010/main"/>
                      </a:ext>
                    </a:extLst>
                  </pic:spPr>
                </pic:pic>
              </a:graphicData>
            </a:graphic>
          </wp:inline>
        </w:drawing>
      </w:r>
    </w:p>
    <w:p w:rsidR="00602F52" w:rsidRDefault="00C900A2" w:rsidP="0040533F">
      <w:pPr>
        <w:jc w:val="center"/>
        <w:rPr>
          <w:sz w:val="22"/>
          <w:lang w:val="en-CA"/>
        </w:rPr>
      </w:pPr>
      <w:r w:rsidRPr="0040533F">
        <w:rPr>
          <w:b/>
          <w:sz w:val="22"/>
          <w:szCs w:val="22"/>
          <w:lang w:val="en-CA"/>
        </w:rPr>
        <w:t>Figure 1:</w:t>
      </w:r>
      <w:r>
        <w:rPr>
          <w:sz w:val="22"/>
          <w:szCs w:val="22"/>
          <w:lang w:val="en-CA"/>
        </w:rPr>
        <w:t xml:space="preserve"> </w:t>
      </w:r>
      <w:r w:rsidRPr="00E4269F">
        <w:rPr>
          <w:rFonts w:hint="eastAsia"/>
        </w:rPr>
        <w:t>Measurement GAP and total interruption time on MCG and SCG</w:t>
      </w:r>
      <w:r w:rsidRPr="0040533F" w:rsidDel="00C900A2">
        <w:rPr>
          <w:sz w:val="22"/>
          <w:szCs w:val="22"/>
          <w:lang w:val="en-CA"/>
        </w:rPr>
        <w:t xml:space="preserve"> </w:t>
      </w:r>
      <w:r>
        <w:rPr>
          <w:sz w:val="22"/>
          <w:szCs w:val="22"/>
          <w:lang w:val="en-CA"/>
        </w:rPr>
        <w:t xml:space="preserve">(from 36.133 Figure 8.1.2.1-1) </w:t>
      </w:r>
    </w:p>
    <w:p w:rsidR="003D5659" w:rsidRDefault="00C34523" w:rsidP="0040533F">
      <w:pPr>
        <w:jc w:val="both"/>
        <w:rPr>
          <w:sz w:val="22"/>
          <w:lang w:val="en-CA"/>
        </w:rPr>
      </w:pPr>
      <w:r>
        <w:rPr>
          <w:sz w:val="22"/>
          <w:lang w:val="en-CA"/>
        </w:rPr>
        <w:t>Without any information on the s</w:t>
      </w:r>
      <w:r w:rsidR="00D744AA">
        <w:rPr>
          <w:sz w:val="22"/>
          <w:lang w:val="en-CA"/>
        </w:rPr>
        <w:t>ubframe</w:t>
      </w:r>
      <w:r>
        <w:rPr>
          <w:sz w:val="22"/>
          <w:lang w:val="en-CA"/>
        </w:rPr>
        <w:t xml:space="preserve"> border timing difference experienced by the UE, the SeNB would have to assume that a measurement gap of 6 subframes in PCell becomes a measurement gap of 8 subframes in PSCell, since it would not know if the slot border time difference is within or outside the range for synchronous operation, and whether the PCell leads or lags over PSCell. This would result in up to </w:t>
      </w:r>
      <w:r w:rsidRPr="0040533F">
        <w:rPr>
          <w:b/>
          <w:sz w:val="22"/>
          <w:lang w:val="en-CA"/>
        </w:rPr>
        <w:t>5% loss of scheduling opportunities in the</w:t>
      </w:r>
      <w:r>
        <w:rPr>
          <w:sz w:val="22"/>
          <w:lang w:val="en-CA"/>
        </w:rPr>
        <w:t xml:space="preserve"> </w:t>
      </w:r>
      <w:r w:rsidRPr="0040533F">
        <w:rPr>
          <w:b/>
          <w:sz w:val="22"/>
          <w:lang w:val="en-CA"/>
        </w:rPr>
        <w:t>PSCell</w:t>
      </w:r>
      <w:r>
        <w:rPr>
          <w:sz w:val="22"/>
          <w:lang w:val="en-CA"/>
        </w:rPr>
        <w:t xml:space="preserve"> compared to </w:t>
      </w:r>
      <w:r w:rsidR="003D5659">
        <w:rPr>
          <w:sz w:val="22"/>
          <w:lang w:val="en-CA"/>
        </w:rPr>
        <w:t>if it was known by the SeNB that the UE receives signals from PCell and PSCell within the synchronous range of timing differences. The loss of scheduling opportunities would result in a loss of achievable UE throughput.</w:t>
      </w:r>
    </w:p>
    <w:p w:rsidR="00D744AA" w:rsidRDefault="003D5659" w:rsidP="0040533F">
      <w:pPr>
        <w:jc w:val="both"/>
        <w:rPr>
          <w:sz w:val="22"/>
          <w:lang w:val="en-CA"/>
        </w:rPr>
      </w:pPr>
      <w:r>
        <w:rPr>
          <w:sz w:val="22"/>
          <w:lang w:val="en-CA"/>
        </w:rPr>
        <w:t>In LTE</w:t>
      </w:r>
      <w:r w:rsidR="00942828">
        <w:rPr>
          <w:sz w:val="22"/>
          <w:lang w:val="en-CA"/>
        </w:rPr>
        <w:t xml:space="preserve"> DC</w:t>
      </w:r>
      <w:r>
        <w:rPr>
          <w:sz w:val="22"/>
          <w:lang w:val="en-CA"/>
        </w:rPr>
        <w:t xml:space="preserve">, </w:t>
      </w:r>
      <w:r w:rsidR="00942828">
        <w:rPr>
          <w:sz w:val="22"/>
          <w:lang w:val="en-CA"/>
        </w:rPr>
        <w:t xml:space="preserve">UE </w:t>
      </w:r>
      <w:r>
        <w:rPr>
          <w:sz w:val="22"/>
          <w:lang w:val="en-CA"/>
        </w:rPr>
        <w:t>reporting of the tim</w:t>
      </w:r>
      <w:r w:rsidR="00942828">
        <w:rPr>
          <w:sz w:val="22"/>
          <w:lang w:val="en-CA"/>
        </w:rPr>
        <w:t>e</w:t>
      </w:r>
      <w:r>
        <w:rPr>
          <w:sz w:val="22"/>
          <w:lang w:val="en-CA"/>
        </w:rPr>
        <w:t xml:space="preserve"> difference between PCell and PSCell has been </w:t>
      </w:r>
      <w:r w:rsidR="00942828">
        <w:rPr>
          <w:sz w:val="22"/>
          <w:lang w:val="en-CA"/>
        </w:rPr>
        <w:t xml:space="preserve">specified; SSTD, short for SFN and Subframe Time Difference. The SSTD reporting allows the </w:t>
      </w:r>
      <w:proofErr w:type="spellStart"/>
      <w:r w:rsidR="00942828">
        <w:rPr>
          <w:sz w:val="22"/>
          <w:lang w:val="en-CA"/>
        </w:rPr>
        <w:t>MeNB</w:t>
      </w:r>
      <w:proofErr w:type="spellEnd"/>
      <w:r w:rsidR="00942828">
        <w:rPr>
          <w:sz w:val="22"/>
          <w:lang w:val="en-CA"/>
        </w:rPr>
        <w:t xml:space="preserve"> and SeNB to know whether the UE is operating in synchronous or asynchronous mode, and </w:t>
      </w:r>
      <w:r w:rsidR="00D744AA">
        <w:rPr>
          <w:sz w:val="22"/>
          <w:lang w:val="en-CA"/>
        </w:rPr>
        <w:t xml:space="preserve">hence </w:t>
      </w:r>
      <w:r w:rsidR="00942828">
        <w:rPr>
          <w:sz w:val="22"/>
          <w:lang w:val="en-CA"/>
        </w:rPr>
        <w:t>allows SeNB to adapt e.g. scheduling accordingly</w:t>
      </w:r>
      <w:r w:rsidR="00D744AA">
        <w:rPr>
          <w:sz w:val="22"/>
          <w:lang w:val="en-CA"/>
        </w:rPr>
        <w:t>. Additionally, several core requirements differ depending on DC mode of operation, as is described further below.</w:t>
      </w:r>
    </w:p>
    <w:p w:rsidR="00E1404A" w:rsidRDefault="00977159" w:rsidP="0040533F">
      <w:pPr>
        <w:jc w:val="both"/>
        <w:rPr>
          <w:sz w:val="22"/>
          <w:lang w:val="en-CA"/>
        </w:rPr>
      </w:pPr>
      <w:r w:rsidRPr="0040533F">
        <w:rPr>
          <w:b/>
          <w:sz w:val="22"/>
          <w:lang w:val="en-CA"/>
        </w:rPr>
        <w:t xml:space="preserve">Observation 1: </w:t>
      </w:r>
      <w:r w:rsidR="00507B19" w:rsidRPr="004B26AC">
        <w:rPr>
          <w:sz w:val="22"/>
          <w:lang w:val="en-CA"/>
        </w:rPr>
        <w:t>In LTE DC,</w:t>
      </w:r>
      <w:r w:rsidR="00507B19">
        <w:rPr>
          <w:b/>
          <w:sz w:val="22"/>
          <w:lang w:val="en-CA"/>
        </w:rPr>
        <w:t xml:space="preserve"> </w:t>
      </w:r>
      <w:r w:rsidR="00507B19">
        <w:rPr>
          <w:sz w:val="22"/>
          <w:lang w:val="en-CA"/>
        </w:rPr>
        <w:t>w</w:t>
      </w:r>
      <w:r>
        <w:rPr>
          <w:sz w:val="22"/>
          <w:lang w:val="en-CA"/>
        </w:rPr>
        <w:t xml:space="preserve">ithout UE reporting </w:t>
      </w:r>
      <w:r w:rsidR="00E1404A">
        <w:rPr>
          <w:sz w:val="22"/>
          <w:lang w:val="en-CA"/>
        </w:rPr>
        <w:t>of SSTD</w:t>
      </w:r>
      <w:r>
        <w:rPr>
          <w:sz w:val="22"/>
          <w:lang w:val="en-CA"/>
        </w:rPr>
        <w:t xml:space="preserve"> up to 5% of the</w:t>
      </w:r>
      <w:r w:rsidR="00B17EBF">
        <w:rPr>
          <w:sz w:val="22"/>
          <w:lang w:val="en-CA"/>
        </w:rPr>
        <w:t xml:space="preserve"> </w:t>
      </w:r>
      <w:r w:rsidR="00E970FA">
        <w:rPr>
          <w:sz w:val="22"/>
          <w:lang w:val="en-CA"/>
        </w:rPr>
        <w:t xml:space="preserve">PSCell </w:t>
      </w:r>
      <w:r>
        <w:rPr>
          <w:sz w:val="22"/>
          <w:lang w:val="en-CA"/>
        </w:rPr>
        <w:t>scheduling opportunities would be lost</w:t>
      </w:r>
      <w:r w:rsidR="00E1404A">
        <w:rPr>
          <w:sz w:val="22"/>
          <w:lang w:val="en-CA"/>
        </w:rPr>
        <w:t xml:space="preserve"> –</w:t>
      </w:r>
      <w:r>
        <w:rPr>
          <w:sz w:val="22"/>
          <w:lang w:val="en-CA"/>
        </w:rPr>
        <w:t xml:space="preserve"> resulting in a reduction of the achievable UE throughput.</w:t>
      </w:r>
    </w:p>
    <w:p w:rsidR="00FE1935" w:rsidRDefault="00FE1935" w:rsidP="0040533F">
      <w:pPr>
        <w:jc w:val="both"/>
        <w:rPr>
          <w:sz w:val="22"/>
          <w:lang w:val="en-CA"/>
        </w:rPr>
      </w:pPr>
      <w:r>
        <w:rPr>
          <w:sz w:val="22"/>
          <w:lang w:val="en-CA"/>
        </w:rPr>
        <w:t xml:space="preserve">If introducing sub-6GHz NSA NR without corresponding time difference reporting as </w:t>
      </w:r>
      <w:r w:rsidR="00E970FA">
        <w:rPr>
          <w:sz w:val="22"/>
          <w:lang w:val="en-CA"/>
        </w:rPr>
        <w:t xml:space="preserve">used </w:t>
      </w:r>
      <w:r>
        <w:rPr>
          <w:sz w:val="22"/>
          <w:lang w:val="en-CA"/>
        </w:rPr>
        <w:t>in LTE DC, the achievable UE throughput in the NR PSCell would become lower than necessary due to loss of scheduling opportunities.</w:t>
      </w:r>
      <w:r w:rsidR="00E970FA">
        <w:rPr>
          <w:sz w:val="22"/>
          <w:lang w:val="en-CA"/>
        </w:rPr>
        <w:t xml:space="preserve"> As a result, the full potential of the new technology would not be used.</w:t>
      </w:r>
    </w:p>
    <w:p w:rsidR="00B17EBF" w:rsidRDefault="00E970FA" w:rsidP="0040533F">
      <w:pPr>
        <w:jc w:val="both"/>
        <w:rPr>
          <w:sz w:val="22"/>
          <w:lang w:val="en-CA"/>
        </w:rPr>
      </w:pPr>
      <w:r>
        <w:rPr>
          <w:sz w:val="22"/>
          <w:lang w:val="en-CA"/>
        </w:rPr>
        <w:t xml:space="preserve">Measurement gaps in NR are under discussion and some agreements were reached during the RAN4 NR#2 ad hoc meeting. Things still under discussion include whether a measurement gap defined for </w:t>
      </w:r>
      <w:proofErr w:type="spellStart"/>
      <w:r>
        <w:rPr>
          <w:sz w:val="22"/>
          <w:lang w:val="en-CA"/>
        </w:rPr>
        <w:t>MeNB</w:t>
      </w:r>
      <w:proofErr w:type="spellEnd"/>
      <w:r>
        <w:rPr>
          <w:sz w:val="22"/>
          <w:lang w:val="en-CA"/>
        </w:rPr>
        <w:t xml:space="preserve"> should also apply for </w:t>
      </w:r>
      <w:proofErr w:type="spellStart"/>
      <w:r>
        <w:rPr>
          <w:sz w:val="22"/>
          <w:lang w:val="en-CA"/>
        </w:rPr>
        <w:t>SgNB</w:t>
      </w:r>
      <w:proofErr w:type="spellEnd"/>
      <w:r>
        <w:rPr>
          <w:sz w:val="22"/>
          <w:lang w:val="en-CA"/>
        </w:rPr>
        <w:t>, and vice versa</w:t>
      </w:r>
      <w:r w:rsidR="00B17EBF">
        <w:rPr>
          <w:sz w:val="22"/>
          <w:lang w:val="en-CA"/>
        </w:rPr>
        <w:t>, and whether NCSG can be used to accommodate for the required interruption in PCell when there is a gap in PSCell, and vice versa. Regardless of outcome of those discussions, there would be a need for a corresponding SSTD reporting in order to either know which TTIs in the PSCell would be impacted by interruptions due to measurement gaps in PCell, and vice versa, or to properly configure NCSG.</w:t>
      </w:r>
    </w:p>
    <w:p w:rsidR="00E970FA" w:rsidRPr="0040533F" w:rsidRDefault="00B17EBF" w:rsidP="0040533F">
      <w:pPr>
        <w:jc w:val="both"/>
        <w:rPr>
          <w:sz w:val="22"/>
          <w:lang w:val="en-CA"/>
        </w:rPr>
      </w:pPr>
      <w:r>
        <w:rPr>
          <w:b/>
          <w:sz w:val="22"/>
          <w:lang w:val="en-CA"/>
        </w:rPr>
        <w:t>Observation 2</w:t>
      </w:r>
      <w:r w:rsidRPr="00B217EA">
        <w:rPr>
          <w:b/>
          <w:sz w:val="22"/>
          <w:lang w:val="en-CA"/>
        </w:rPr>
        <w:t>:</w:t>
      </w:r>
      <w:r>
        <w:rPr>
          <w:b/>
          <w:sz w:val="22"/>
          <w:lang w:val="en-CA"/>
        </w:rPr>
        <w:t xml:space="preserve"> </w:t>
      </w:r>
      <w:r>
        <w:rPr>
          <w:sz w:val="22"/>
          <w:lang w:val="en-CA"/>
        </w:rPr>
        <w:t xml:space="preserve">For NR NSA, UE reporting of time difference would be required to avoid loss of scheduling opportunities, </w:t>
      </w:r>
      <w:r w:rsidR="0031259C">
        <w:rPr>
          <w:sz w:val="22"/>
          <w:lang w:val="en-CA"/>
        </w:rPr>
        <w:t>and</w:t>
      </w:r>
      <w:r>
        <w:rPr>
          <w:sz w:val="22"/>
          <w:lang w:val="en-CA"/>
        </w:rPr>
        <w:t xml:space="preserve"> for proper configur</w:t>
      </w:r>
      <w:r w:rsidR="0031259C">
        <w:rPr>
          <w:sz w:val="22"/>
          <w:lang w:val="en-CA"/>
        </w:rPr>
        <w:t>ation of NCSGs</w:t>
      </w:r>
      <w:r>
        <w:rPr>
          <w:sz w:val="22"/>
          <w:lang w:val="en-CA"/>
        </w:rPr>
        <w:t>.</w:t>
      </w:r>
    </w:p>
    <w:p w:rsidR="0044522C" w:rsidRDefault="0031259C" w:rsidP="0040533F">
      <w:pPr>
        <w:jc w:val="both"/>
        <w:rPr>
          <w:sz w:val="22"/>
          <w:lang w:val="en-CA"/>
        </w:rPr>
      </w:pPr>
      <w:r>
        <w:rPr>
          <w:sz w:val="22"/>
          <w:lang w:val="en-CA"/>
        </w:rPr>
        <w:t xml:space="preserve">So why something different than existing SSTD? The SSTD reporting in LTE DC is based on that the TTI in LTE is one subframe. As described further below, the TTI length in NR depends on the configuration in use, </w:t>
      </w:r>
      <w:r>
        <w:rPr>
          <w:sz w:val="22"/>
          <w:lang w:val="en-CA"/>
        </w:rPr>
        <w:lastRenderedPageBreak/>
        <w:t>with the longest TTI corresponding to the LTE TTI. Hence in many NR configurations the existing SSTD reporting would be too coarse and result in unnecessary loss of scheduling opportunities. With different size of the TTIs in LTE and NR, synchronous operation can be achieved not only when LTE subframe and NR subframe borders are aligned, but also when an LTE subframe border is aligned with an NR TTI border – of which there may be many during an NR subframe.</w:t>
      </w:r>
      <w:r w:rsidR="0044522C">
        <w:rPr>
          <w:sz w:val="22"/>
          <w:lang w:val="en-CA"/>
        </w:rPr>
        <w:t xml:space="preserve"> In order to accommodate the flexibility in NR configuration, the time difference reporting format would have to be changed compared to LTE DC SSTD although the principles of the measurements are the same. Hence for NSA NR we are proposing a format where SFN, subframe and TTI border Time Difference (SSTTD) is reported, with details provided further below.</w:t>
      </w:r>
    </w:p>
    <w:p w:rsidR="0039490B" w:rsidRPr="0040533F" w:rsidRDefault="0044522C" w:rsidP="0040533F">
      <w:pPr>
        <w:jc w:val="both"/>
        <w:rPr>
          <w:sz w:val="22"/>
          <w:lang w:val="en-CA"/>
        </w:rPr>
      </w:pPr>
      <w:r>
        <w:rPr>
          <w:b/>
          <w:sz w:val="22"/>
          <w:lang w:val="en-CA"/>
        </w:rPr>
        <w:t>Observation 3:</w:t>
      </w:r>
      <w:r>
        <w:rPr>
          <w:sz w:val="22"/>
          <w:lang w:val="en-CA"/>
        </w:rPr>
        <w:t xml:space="preserve"> Existing LTE DC SSTD reporting format is based on a fixed TTI length of 1ms. In NR, a whole range of TTI lengths can be used, with a TTI length of 1ms representing the longest TTI.</w:t>
      </w:r>
      <w:r w:rsidR="0039490B">
        <w:rPr>
          <w:sz w:val="22"/>
          <w:lang w:val="en-CA"/>
        </w:rPr>
        <w:t xml:space="preserve"> Synchronous operation can be supported whenever an LTE TTI is aligned with a NR TTI, hence reusing existing SSTD reporting format also for NR NSA would result in significant losses of scheduling opportunities. By defining a format that allows TTI border time difference to be reported – rather than just subframe border ditto – would prevent unnecessary loss of scheduling opportunities for the UE.</w:t>
      </w:r>
    </w:p>
    <w:p w:rsidR="00ED3FB6" w:rsidRPr="0040533F" w:rsidRDefault="00ED3FB6" w:rsidP="0040533F">
      <w:pPr>
        <w:jc w:val="both"/>
        <w:rPr>
          <w:sz w:val="22"/>
          <w:lang w:val="en-CA"/>
        </w:rPr>
      </w:pPr>
    </w:p>
    <w:p w:rsidR="00661D60" w:rsidRDefault="00F10F88" w:rsidP="004F5AC7">
      <w:pPr>
        <w:pStyle w:val="Heading1"/>
        <w:ind w:left="431" w:hanging="431"/>
        <w:rPr>
          <w:szCs w:val="36"/>
          <w:lang w:val="en-CA"/>
        </w:rPr>
      </w:pPr>
      <w:r w:rsidRPr="00457F73">
        <w:rPr>
          <w:szCs w:val="36"/>
          <w:lang w:val="en-CA"/>
        </w:rPr>
        <w:t>Background</w:t>
      </w:r>
    </w:p>
    <w:p w:rsidR="0056259F" w:rsidRDefault="0056259F" w:rsidP="0056259F">
      <w:pPr>
        <w:pStyle w:val="Heading2"/>
        <w:rPr>
          <w:lang w:val="en-CA"/>
        </w:rPr>
      </w:pPr>
      <w:r>
        <w:rPr>
          <w:lang w:val="en-CA"/>
        </w:rPr>
        <w:t>LTE</w:t>
      </w:r>
      <w:r w:rsidR="0039490B">
        <w:rPr>
          <w:lang w:val="en-CA"/>
        </w:rPr>
        <w:t xml:space="preserve"> DC</w:t>
      </w:r>
    </w:p>
    <w:p w:rsidR="0056259F" w:rsidRDefault="0056259F" w:rsidP="0056259F">
      <w:pPr>
        <w:jc w:val="both"/>
        <w:rPr>
          <w:sz w:val="22"/>
          <w:szCs w:val="22"/>
          <w:lang w:val="en-CA"/>
        </w:rPr>
      </w:pPr>
      <w:r>
        <w:rPr>
          <w:sz w:val="22"/>
          <w:szCs w:val="22"/>
          <w:lang w:val="en-CA"/>
        </w:rPr>
        <w:t xml:space="preserve">In DC scenarios, a distinction is made between synchronous and asynchronous operation. In case of LTE DC, i.e. when both PCell and PSCell are LTE cells, the border between synchronous and asynchronous operation is when the time difference between received subframes from PCell and PSCell is </w:t>
      </w:r>
      <w:r>
        <w:rPr>
          <w:rFonts w:ascii="Calibri" w:hAnsi="Calibri"/>
          <w:sz w:val="22"/>
          <w:szCs w:val="22"/>
          <w:lang w:val="en-CA"/>
        </w:rPr>
        <w:t>±</w:t>
      </w:r>
      <w:r>
        <w:rPr>
          <w:sz w:val="22"/>
          <w:szCs w:val="22"/>
          <w:lang w:val="en-CA"/>
        </w:rPr>
        <w:t>33</w:t>
      </w:r>
      <w:r>
        <w:rPr>
          <w:rFonts w:ascii="Calibri" w:hAnsi="Calibri"/>
          <w:sz w:val="22"/>
          <w:szCs w:val="22"/>
          <w:lang w:val="en-CA"/>
        </w:rPr>
        <w:t>μ</w:t>
      </w:r>
      <w:r>
        <w:rPr>
          <w:sz w:val="22"/>
          <w:szCs w:val="22"/>
          <w:lang w:val="en-CA"/>
        </w:rPr>
        <w:t>s. This particular figure goes back to considerations on 1) concurrent UE PHY and RF processing capabilities and 2) minimum required time interval for cell detection and mobility measurements in measurement gaps. For (1), capability reporting was introduced where the UE could state whether it supported synchronous DC operation only, or both synchronous and asynchronous DC operations. For (2), it was specified that when operating in synchronous DC operation, a measurement gap is allowed only to impact 6 subframes on PCell and PSCell each, whereas for asynchronous DC operation, a measurement gap is allowed to impact 6 subframes on PCell and 7 subframes on PSCell. In other words: in asynchronous DC operation</w:t>
      </w:r>
      <w:r w:rsidR="00902B68">
        <w:rPr>
          <w:sz w:val="22"/>
          <w:szCs w:val="22"/>
          <w:lang w:val="en-CA"/>
        </w:rPr>
        <w:t>,</w:t>
      </w:r>
      <w:r>
        <w:rPr>
          <w:sz w:val="22"/>
          <w:szCs w:val="22"/>
          <w:lang w:val="en-CA"/>
        </w:rPr>
        <w:t xml:space="preserve"> the UE punctures one additional subframe in PSCell in order to secure that there is enough time for cell detection and mobility measurements in a measurement gap.   </w:t>
      </w:r>
    </w:p>
    <w:p w:rsidR="0056259F" w:rsidRDefault="0056259F" w:rsidP="0056259F">
      <w:pPr>
        <w:jc w:val="both"/>
        <w:rPr>
          <w:sz w:val="22"/>
          <w:szCs w:val="22"/>
          <w:lang w:val="en-CA"/>
        </w:rPr>
      </w:pPr>
      <w:r>
        <w:rPr>
          <w:sz w:val="22"/>
          <w:szCs w:val="22"/>
          <w:lang w:val="en-CA"/>
        </w:rPr>
        <w:t xml:space="preserve">For the </w:t>
      </w:r>
      <w:proofErr w:type="spellStart"/>
      <w:r>
        <w:rPr>
          <w:sz w:val="22"/>
          <w:szCs w:val="22"/>
          <w:lang w:val="en-CA"/>
        </w:rPr>
        <w:t>MeNB</w:t>
      </w:r>
      <w:proofErr w:type="spellEnd"/>
      <w:r>
        <w:rPr>
          <w:sz w:val="22"/>
          <w:szCs w:val="22"/>
          <w:lang w:val="en-CA"/>
        </w:rPr>
        <w:t xml:space="preserve"> and SeNB to know which mode to operate in towards a UE, time difference reporting, SFN and subframe timing difference (SSTD) </w:t>
      </w:r>
      <w:r>
        <w:rPr>
          <w:sz w:val="22"/>
          <w:szCs w:val="22"/>
          <w:lang w:val="en-CA"/>
        </w:rPr>
        <w:fldChar w:fldCharType="begin"/>
      </w:r>
      <w:r>
        <w:rPr>
          <w:sz w:val="22"/>
          <w:szCs w:val="22"/>
          <w:lang w:val="en-CA"/>
        </w:rPr>
        <w:instrText xml:space="preserve"> REF _Ref485387765 \r \h </w:instrText>
      </w:r>
      <w:r>
        <w:rPr>
          <w:sz w:val="22"/>
          <w:szCs w:val="22"/>
          <w:lang w:val="en-CA"/>
        </w:rPr>
      </w:r>
      <w:r>
        <w:rPr>
          <w:sz w:val="22"/>
          <w:szCs w:val="22"/>
          <w:lang w:val="en-CA"/>
        </w:rPr>
        <w:fldChar w:fldCharType="separate"/>
      </w:r>
      <w:r w:rsidR="009B1F36">
        <w:rPr>
          <w:sz w:val="22"/>
          <w:szCs w:val="22"/>
          <w:lang w:val="en-CA"/>
        </w:rPr>
        <w:t>[1]</w:t>
      </w:r>
      <w:r>
        <w:rPr>
          <w:sz w:val="22"/>
          <w:szCs w:val="22"/>
          <w:lang w:val="en-CA"/>
        </w:rPr>
        <w:fldChar w:fldCharType="end"/>
      </w:r>
      <w:r>
        <w:rPr>
          <w:sz w:val="22"/>
          <w:szCs w:val="22"/>
          <w:lang w:val="en-CA"/>
        </w:rPr>
        <w:t xml:space="preserve"> has been introduced. The UE measures the time difference between corresponding system frames in PCell and PSCell, and reports it to the </w:t>
      </w:r>
      <w:proofErr w:type="spellStart"/>
      <w:r>
        <w:rPr>
          <w:sz w:val="22"/>
          <w:szCs w:val="22"/>
          <w:lang w:val="en-CA"/>
        </w:rPr>
        <w:t>MeNB</w:t>
      </w:r>
      <w:proofErr w:type="spellEnd"/>
      <w:r>
        <w:rPr>
          <w:sz w:val="22"/>
          <w:szCs w:val="22"/>
          <w:lang w:val="en-CA"/>
        </w:rPr>
        <w:t xml:space="preserve">. Based on the reported SSTD, and reported UE capabilities, the </w:t>
      </w:r>
      <w:proofErr w:type="spellStart"/>
      <w:r>
        <w:rPr>
          <w:sz w:val="22"/>
          <w:szCs w:val="22"/>
          <w:lang w:val="en-CA"/>
        </w:rPr>
        <w:t>MeNB</w:t>
      </w:r>
      <w:proofErr w:type="spellEnd"/>
      <w:r>
        <w:rPr>
          <w:sz w:val="22"/>
          <w:szCs w:val="22"/>
          <w:lang w:val="en-CA"/>
        </w:rPr>
        <w:t xml:space="preserve"> can decide mode of operation and whether DC at all is possible.</w:t>
      </w:r>
    </w:p>
    <w:p w:rsidR="002B381D" w:rsidRDefault="00CE4E04" w:rsidP="0056259F">
      <w:pPr>
        <w:jc w:val="both"/>
        <w:rPr>
          <w:sz w:val="22"/>
          <w:szCs w:val="22"/>
          <w:lang w:val="en-CA"/>
        </w:rPr>
      </w:pPr>
      <w:r>
        <w:rPr>
          <w:sz w:val="22"/>
          <w:szCs w:val="22"/>
          <w:lang w:val="en-CA"/>
        </w:rPr>
        <w:t xml:space="preserve">The DC mode of operation has an impact on the allowed interruptions e.g. at PSCell addition/release, as captured in 36.133 </w:t>
      </w:r>
      <w:r>
        <w:rPr>
          <w:sz w:val="22"/>
          <w:szCs w:val="22"/>
          <w:lang w:val="en-CA"/>
        </w:rPr>
        <w:fldChar w:fldCharType="begin"/>
      </w:r>
      <w:r>
        <w:rPr>
          <w:sz w:val="22"/>
          <w:szCs w:val="22"/>
          <w:lang w:val="en-CA"/>
        </w:rPr>
        <w:instrText xml:space="preserve"> REF _Ref485460518 \r \h </w:instrText>
      </w:r>
      <w:r>
        <w:rPr>
          <w:sz w:val="22"/>
          <w:szCs w:val="22"/>
          <w:lang w:val="en-CA"/>
        </w:rPr>
      </w:r>
      <w:r>
        <w:rPr>
          <w:sz w:val="22"/>
          <w:szCs w:val="22"/>
          <w:lang w:val="en-CA"/>
        </w:rPr>
        <w:fldChar w:fldCharType="separate"/>
      </w:r>
      <w:r w:rsidR="009B1F36">
        <w:rPr>
          <w:sz w:val="22"/>
          <w:szCs w:val="22"/>
          <w:lang w:val="en-CA"/>
        </w:rPr>
        <w:t>[2]</w:t>
      </w:r>
      <w:r>
        <w:rPr>
          <w:sz w:val="22"/>
          <w:szCs w:val="22"/>
          <w:lang w:val="en-CA"/>
        </w:rPr>
        <w:fldChar w:fldCharType="end"/>
      </w:r>
      <w:r>
        <w:rPr>
          <w:sz w:val="22"/>
          <w:szCs w:val="22"/>
          <w:lang w:val="en-CA"/>
        </w:rPr>
        <w:t>, Section 7.12. Particularly, in synchronous DC operation the UE is allowed to cause an interruption of 1 subframe, whereas at asynchronous DC operation, the same UE is allowed to cause an interruption of 2 subframes.</w:t>
      </w:r>
    </w:p>
    <w:p w:rsidR="00CE4E04" w:rsidRDefault="002B381D" w:rsidP="0056259F">
      <w:pPr>
        <w:jc w:val="both"/>
        <w:rPr>
          <w:sz w:val="22"/>
          <w:szCs w:val="22"/>
          <w:lang w:val="en-CA"/>
        </w:rPr>
      </w:pPr>
      <w:r>
        <w:rPr>
          <w:sz w:val="22"/>
          <w:szCs w:val="22"/>
          <w:lang w:val="en-CA"/>
        </w:rPr>
        <w:t xml:space="preserve">Moreover, the DC mode of operation has an impact on the allowed interruptions during measurements in autonomous gaps, where the UE shall fulfill minimum requirements on transmitted ACK/NACKs that differs between synchronous and asynchronous DC operation; 36.133 </w:t>
      </w:r>
      <w:r>
        <w:rPr>
          <w:sz w:val="22"/>
          <w:szCs w:val="22"/>
          <w:lang w:val="en-CA"/>
        </w:rPr>
        <w:fldChar w:fldCharType="begin"/>
      </w:r>
      <w:r>
        <w:rPr>
          <w:sz w:val="22"/>
          <w:szCs w:val="22"/>
          <w:lang w:val="en-CA"/>
        </w:rPr>
        <w:instrText xml:space="preserve"> REF _Ref485460518 \r \h </w:instrText>
      </w:r>
      <w:r>
        <w:rPr>
          <w:sz w:val="22"/>
          <w:szCs w:val="22"/>
          <w:lang w:val="en-CA"/>
        </w:rPr>
      </w:r>
      <w:r>
        <w:rPr>
          <w:sz w:val="22"/>
          <w:szCs w:val="22"/>
          <w:lang w:val="en-CA"/>
        </w:rPr>
        <w:fldChar w:fldCharType="separate"/>
      </w:r>
      <w:r w:rsidR="009B1F36">
        <w:rPr>
          <w:sz w:val="22"/>
          <w:szCs w:val="22"/>
          <w:lang w:val="en-CA"/>
        </w:rPr>
        <w:t>[2]</w:t>
      </w:r>
      <w:r>
        <w:rPr>
          <w:sz w:val="22"/>
          <w:szCs w:val="22"/>
          <w:lang w:val="en-CA"/>
        </w:rPr>
        <w:fldChar w:fldCharType="end"/>
      </w:r>
      <w:r>
        <w:rPr>
          <w:sz w:val="22"/>
          <w:szCs w:val="22"/>
          <w:lang w:val="en-CA"/>
        </w:rPr>
        <w:t xml:space="preserve"> Sections 8.8.5 and 8.8.6. </w:t>
      </w:r>
    </w:p>
    <w:p w:rsidR="00F0770C" w:rsidRDefault="00CE4E04" w:rsidP="0040533F">
      <w:pPr>
        <w:jc w:val="both"/>
      </w:pPr>
      <w:r>
        <w:rPr>
          <w:sz w:val="22"/>
          <w:szCs w:val="22"/>
          <w:lang w:val="en-CA"/>
        </w:rPr>
        <w:t>The DC mode of operation further has an impact on the scheduling of a UE around a measurement gap</w:t>
      </w:r>
      <w:r w:rsidR="00D42106">
        <w:rPr>
          <w:sz w:val="22"/>
          <w:szCs w:val="22"/>
          <w:lang w:val="en-CA"/>
        </w:rPr>
        <w:t xml:space="preserve">, since the allowed puncturing of the PSCell </w:t>
      </w:r>
      <w:r w:rsidR="00F0770C">
        <w:rPr>
          <w:sz w:val="22"/>
          <w:szCs w:val="22"/>
          <w:lang w:val="en-CA"/>
        </w:rPr>
        <w:t xml:space="preserve">depends on whether it is synchronous or asynchronous DC operation. This is captured in 36.133 </w:t>
      </w:r>
      <w:r w:rsidR="00F0770C">
        <w:rPr>
          <w:sz w:val="22"/>
          <w:szCs w:val="22"/>
          <w:lang w:val="en-CA"/>
        </w:rPr>
        <w:fldChar w:fldCharType="begin"/>
      </w:r>
      <w:r w:rsidR="00F0770C">
        <w:rPr>
          <w:sz w:val="22"/>
          <w:szCs w:val="22"/>
          <w:lang w:val="en-CA"/>
        </w:rPr>
        <w:instrText xml:space="preserve"> REF _Ref485460518 \r \h </w:instrText>
      </w:r>
      <w:r w:rsidR="00F0770C">
        <w:rPr>
          <w:sz w:val="22"/>
          <w:szCs w:val="22"/>
          <w:lang w:val="en-CA"/>
        </w:rPr>
      </w:r>
      <w:r w:rsidR="00F0770C">
        <w:rPr>
          <w:sz w:val="22"/>
          <w:szCs w:val="22"/>
          <w:lang w:val="en-CA"/>
        </w:rPr>
        <w:fldChar w:fldCharType="separate"/>
      </w:r>
      <w:r w:rsidR="009B1F36">
        <w:rPr>
          <w:sz w:val="22"/>
          <w:szCs w:val="22"/>
          <w:lang w:val="en-CA"/>
        </w:rPr>
        <w:t>[2]</w:t>
      </w:r>
      <w:r w:rsidR="00F0770C">
        <w:rPr>
          <w:sz w:val="22"/>
          <w:szCs w:val="22"/>
          <w:lang w:val="en-CA"/>
        </w:rPr>
        <w:fldChar w:fldCharType="end"/>
      </w:r>
      <w:r w:rsidR="00F0770C">
        <w:rPr>
          <w:sz w:val="22"/>
          <w:szCs w:val="22"/>
          <w:lang w:val="en-CA"/>
        </w:rPr>
        <w:t xml:space="preserve"> Section 8.1.2</w:t>
      </w:r>
      <w:r w:rsidR="0039490B">
        <w:rPr>
          <w:sz w:val="22"/>
          <w:szCs w:val="22"/>
          <w:lang w:val="en-CA"/>
        </w:rPr>
        <w:t>.</w:t>
      </w:r>
      <w:r w:rsidR="00FA2710">
        <w:tab/>
      </w:r>
    </w:p>
    <w:p w:rsidR="00F0770C" w:rsidRPr="0040533F" w:rsidRDefault="00F0770C" w:rsidP="0056259F">
      <w:pPr>
        <w:jc w:val="both"/>
        <w:rPr>
          <w:b/>
          <w:sz w:val="24"/>
          <w:szCs w:val="22"/>
          <w:lang w:val="en-CA"/>
        </w:rPr>
      </w:pPr>
    </w:p>
    <w:p w:rsidR="00D25743" w:rsidRPr="0040533F" w:rsidRDefault="00D25743" w:rsidP="0056259F">
      <w:pPr>
        <w:jc w:val="both"/>
        <w:rPr>
          <w:b/>
          <w:sz w:val="22"/>
          <w:szCs w:val="22"/>
          <w:lang w:val="en-CA"/>
        </w:rPr>
      </w:pPr>
    </w:p>
    <w:p w:rsidR="0087526D" w:rsidRDefault="0087526D" w:rsidP="0087526D">
      <w:pPr>
        <w:pStyle w:val="Heading2"/>
      </w:pPr>
      <w:r>
        <w:lastRenderedPageBreak/>
        <w:t xml:space="preserve">Existing LTE </w:t>
      </w:r>
      <w:r w:rsidR="0039490B">
        <w:t xml:space="preserve">DC </w:t>
      </w:r>
      <w:r>
        <w:t>SSTD reporting structure</w:t>
      </w:r>
    </w:p>
    <w:p w:rsidR="0087526D" w:rsidRDefault="0087526D" w:rsidP="0087526D">
      <w:pPr>
        <w:jc w:val="both"/>
        <w:rPr>
          <w:sz w:val="22"/>
        </w:rPr>
      </w:pPr>
      <w:r>
        <w:rPr>
          <w:sz w:val="22"/>
        </w:rPr>
        <w:t xml:space="preserve">The measurement definition in the RAN1 specification </w:t>
      </w:r>
      <w:r>
        <w:rPr>
          <w:sz w:val="22"/>
        </w:rPr>
        <w:fldChar w:fldCharType="begin"/>
      </w:r>
      <w:r>
        <w:rPr>
          <w:sz w:val="22"/>
        </w:rPr>
        <w:instrText xml:space="preserve"> REF _Ref485387765 \r \h </w:instrText>
      </w:r>
      <w:r>
        <w:rPr>
          <w:sz w:val="22"/>
        </w:rPr>
      </w:r>
      <w:r>
        <w:rPr>
          <w:sz w:val="22"/>
        </w:rPr>
        <w:fldChar w:fldCharType="separate"/>
      </w:r>
      <w:r w:rsidR="009B1F36">
        <w:rPr>
          <w:sz w:val="22"/>
        </w:rPr>
        <w:t>[1]</w:t>
      </w:r>
      <w:r>
        <w:rPr>
          <w:sz w:val="22"/>
        </w:rPr>
        <w:fldChar w:fldCharType="end"/>
      </w:r>
      <w:r>
        <w:rPr>
          <w:sz w:val="22"/>
        </w:rPr>
        <w:t xml:space="preserve"> is as follows</w:t>
      </w:r>
      <w:r w:rsidRPr="000972BA">
        <w:rPr>
          <w:sz w:val="22"/>
        </w:rPr>
        <w:t>,</w:t>
      </w:r>
      <w:r>
        <w:rPr>
          <w:sz w:val="22"/>
        </w:rPr>
        <w:t xml:space="preserve"> from which it can be seen that SFN offset is provided as the number of whole radio frames, [0, 1023], between corresponding system frames of PCell and PSCell, Frame boundary offset is a number of whole subframes, [-5, 4], by which the timing between PCell and PSCell differ, and Subframe boundary offset is the number of basic time units (</w:t>
      </w:r>
      <w:proofErr w:type="spellStart"/>
      <w:r>
        <w:rPr>
          <w:sz w:val="22"/>
        </w:rPr>
        <w:t>Ts</w:t>
      </w:r>
      <w:proofErr w:type="spellEnd"/>
      <w:r>
        <w:rPr>
          <w:sz w:val="22"/>
        </w:rPr>
        <w:t xml:space="preserve">), [-15360, 15359], that describes the remaining time difference between PCell and PSCell.    </w:t>
      </w:r>
    </w:p>
    <w:p w:rsidR="0087526D" w:rsidRPr="00B37B85" w:rsidRDefault="0087526D" w:rsidP="0087526D">
      <w:pPr>
        <w:pStyle w:val="Caption"/>
        <w:keepNext/>
        <w:rPr>
          <w:sz w:val="22"/>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7526D" w:rsidRPr="00486914" w:rsidTr="00A455BA">
        <w:trPr>
          <w:cantSplit/>
          <w:jc w:val="center"/>
        </w:trPr>
        <w:tc>
          <w:tcPr>
            <w:tcW w:w="1951" w:type="dxa"/>
          </w:tcPr>
          <w:p w:rsidR="0087526D" w:rsidRPr="006D5822" w:rsidRDefault="0087526D" w:rsidP="00A455BA">
            <w:pPr>
              <w:pStyle w:val="TAL"/>
              <w:rPr>
                <w:rFonts w:cs="Arial"/>
                <w:b/>
              </w:rPr>
            </w:pPr>
            <w:r w:rsidRPr="006D5822">
              <w:rPr>
                <w:rFonts w:cs="Arial"/>
                <w:b/>
              </w:rPr>
              <w:t>Definition</w:t>
            </w:r>
          </w:p>
        </w:tc>
        <w:tc>
          <w:tcPr>
            <w:tcW w:w="7787" w:type="dxa"/>
          </w:tcPr>
          <w:p w:rsidR="0087526D" w:rsidRPr="001B493D" w:rsidRDefault="0087526D" w:rsidP="00A455BA">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87526D" w:rsidRPr="00AB4CEC" w:rsidRDefault="0087526D" w:rsidP="00A455BA">
            <w:pPr>
              <w:pStyle w:val="B1"/>
              <w:rPr>
                <w:rFonts w:ascii="Arial" w:hAnsi="Arial" w:cs="Arial"/>
                <w:sz w:val="18"/>
                <w:szCs w:val="18"/>
                <w:lang w:val="en-US" w:eastAsia="ja-JP"/>
              </w:rPr>
            </w:pPr>
            <w:r>
              <w:rPr>
                <w:lang w:eastAsia="ja-JP"/>
              </w:rPr>
              <w:t>-</w:t>
            </w:r>
            <w:r>
              <w:rPr>
                <w:lang w:eastAsia="ja-JP"/>
              </w:rPr>
              <w:tab/>
            </w:r>
            <w:r w:rsidRPr="00AB4CEC">
              <w:rPr>
                <w:rFonts w:ascii="Arial" w:hAnsi="Arial" w:cs="Arial"/>
                <w:sz w:val="18"/>
                <w:szCs w:val="18"/>
                <w:lang w:eastAsia="ja-JP"/>
              </w:rPr>
              <w:t xml:space="preserve">SFN offset = </w:t>
            </w:r>
            <w:r w:rsidRPr="00AB4CEC">
              <w:rPr>
                <w:rFonts w:ascii="Arial" w:eastAsia="MS Mincho" w:hAnsi="Arial" w:cs="Arial"/>
                <w:sz w:val="18"/>
                <w:szCs w:val="18"/>
                <w:lang w:eastAsia="ja-JP"/>
              </w:rPr>
              <w:t>(</w:t>
            </w:r>
            <w:proofErr w:type="spellStart"/>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PCell</w:t>
            </w:r>
            <w:proofErr w:type="spellEnd"/>
            <w:r w:rsidRPr="00AB4CEC">
              <w:rPr>
                <w:rFonts w:ascii="Arial" w:eastAsia="MS Mincho" w:hAnsi="Arial" w:cs="Arial"/>
                <w:sz w:val="18"/>
                <w:szCs w:val="18"/>
                <w:lang w:eastAsia="ja-JP"/>
              </w:rPr>
              <w:t xml:space="preserve"> - </w:t>
            </w:r>
            <w:proofErr w:type="spellStart"/>
            <w:r w:rsidRPr="00AB4CEC">
              <w:rPr>
                <w:rFonts w:ascii="Arial" w:eastAsia="MS Mincho" w:hAnsi="Arial" w:cs="Arial"/>
                <w:sz w:val="18"/>
                <w:szCs w:val="18"/>
                <w:lang w:eastAsia="ja-JP"/>
              </w:rPr>
              <w:t>SFN</w:t>
            </w:r>
            <w:r w:rsidRPr="00AB4CEC">
              <w:rPr>
                <w:rFonts w:ascii="Arial" w:eastAsia="MS Mincho" w:hAnsi="Arial" w:cs="Arial"/>
                <w:sz w:val="18"/>
                <w:szCs w:val="18"/>
                <w:vertAlign w:val="subscript"/>
                <w:lang w:eastAsia="ja-JP"/>
              </w:rPr>
              <w:t>PSCell</w:t>
            </w:r>
            <w:proofErr w:type="spellEnd"/>
            <w:r w:rsidRPr="00AB4CEC">
              <w:rPr>
                <w:rFonts w:ascii="Arial" w:eastAsia="MS Mincho" w:hAnsi="Arial" w:cs="Arial"/>
                <w:sz w:val="18"/>
                <w:szCs w:val="18"/>
                <w:lang w:eastAsia="ja-JP"/>
              </w:rPr>
              <w:t xml:space="preserve">) </w:t>
            </w:r>
            <w:r w:rsidRPr="00AB4CEC">
              <w:rPr>
                <w:rFonts w:ascii="Arial" w:hAnsi="Arial" w:cs="Arial"/>
                <w:sz w:val="18"/>
                <w:szCs w:val="18"/>
                <w:lang w:eastAsia="ja-JP"/>
              </w:rPr>
              <w:t xml:space="preserve">mod 1024, where </w:t>
            </w:r>
            <w:proofErr w:type="spellStart"/>
            <w:r w:rsidRPr="00AB4CEC">
              <w:rPr>
                <w:rFonts w:ascii="Arial" w:hAnsi="Arial" w:cs="Arial"/>
                <w:sz w:val="18"/>
                <w:szCs w:val="18"/>
                <w:lang w:eastAsia="ja-JP"/>
              </w:rPr>
              <w:t>SFN</w:t>
            </w:r>
            <w:r w:rsidRPr="00AB4CEC">
              <w:rPr>
                <w:rFonts w:ascii="Arial" w:hAnsi="Arial" w:cs="Arial"/>
                <w:sz w:val="18"/>
                <w:szCs w:val="18"/>
                <w:vertAlign w:val="subscript"/>
                <w:lang w:eastAsia="ja-JP"/>
              </w:rPr>
              <w:t>PCell</w:t>
            </w:r>
            <w:proofErr w:type="spellEnd"/>
            <w:r w:rsidRPr="00AB4CEC">
              <w:rPr>
                <w:rFonts w:ascii="Arial" w:hAnsi="Arial" w:cs="Arial"/>
                <w:sz w:val="18"/>
                <w:szCs w:val="18"/>
                <w:lang w:eastAsia="ja-JP"/>
              </w:rPr>
              <w:t xml:space="preserve"> is the SFN of a PCell radio frame and </w:t>
            </w:r>
            <w:proofErr w:type="spellStart"/>
            <w:r w:rsidRPr="00AB4CEC">
              <w:rPr>
                <w:rFonts w:ascii="Arial" w:hAnsi="Arial" w:cs="Arial"/>
                <w:sz w:val="18"/>
                <w:szCs w:val="18"/>
                <w:lang w:eastAsia="ja-JP"/>
              </w:rPr>
              <w:t>SFN</w:t>
            </w:r>
            <w:r w:rsidRPr="00AB4CEC">
              <w:rPr>
                <w:rFonts w:ascii="Arial" w:hAnsi="Arial" w:cs="Arial"/>
                <w:sz w:val="18"/>
                <w:szCs w:val="18"/>
                <w:vertAlign w:val="subscript"/>
                <w:lang w:eastAsia="ja-JP"/>
              </w:rPr>
              <w:t>PSCell</w:t>
            </w:r>
            <w:proofErr w:type="spellEnd"/>
            <w:r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87526D" w:rsidRPr="00AB4CEC" w:rsidRDefault="0087526D" w:rsidP="00A455BA">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Frame boundary offset = </w:t>
            </w:r>
            <w:r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9pt;height:17.25pt" o:ole="">
                  <v:imagedata r:id="rId9" o:title=""/>
                </v:shape>
                <o:OLEObject Type="Embed" ProgID="Equation.3" ShapeID="_x0000_i1025" DrawAspect="Content" ObjectID="_1568487233" r:id="rId10"/>
              </w:object>
            </w:r>
            <w:r w:rsidRPr="00AB4CEC">
              <w:rPr>
                <w:rFonts w:ascii="Arial" w:hAnsi="Arial" w:cs="Arial"/>
                <w:sz w:val="18"/>
                <w:szCs w:val="18"/>
                <w:lang w:eastAsia="ja-JP"/>
              </w:rPr>
              <w:t xml:space="preserve">, where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FrameBoundaryPCell</w:t>
            </w:r>
            <w:proofErr w:type="spellEnd"/>
            <w:r w:rsidRPr="00AB4CEC">
              <w:rPr>
                <w:rFonts w:ascii="Arial" w:hAnsi="Arial" w:cs="Arial"/>
                <w:sz w:val="18"/>
                <w:szCs w:val="18"/>
                <w:lang w:eastAsia="ja-JP"/>
              </w:rPr>
              <w:t xml:space="preserve"> is the time when the UE receives the start of a radio frame from the PCell and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FrameBoundaryPSCell</w:t>
            </w:r>
            <w:proofErr w:type="spellEnd"/>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radio frame of PSCell that is closest in time to the radio frame received from the PCell.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 xml:space="preserve">unit of </w:t>
            </w:r>
            <w:r w:rsidRPr="00AB4CEC">
              <w:rPr>
                <w:rFonts w:ascii="Arial" w:hAnsi="Arial" w:cs="Arial"/>
                <w:sz w:val="18"/>
                <w:szCs w:val="18"/>
                <w:lang w:val="en-US" w:eastAsia="ja-JP"/>
              </w:rPr>
              <w:t>(</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FrameBoundaryPCell</w:t>
            </w:r>
            <w:proofErr w:type="spellEnd"/>
            <w:r w:rsidRPr="00AB4CEC">
              <w:rPr>
                <w:rFonts w:ascii="Arial" w:hAnsi="Arial" w:cs="Arial"/>
                <w:sz w:val="18"/>
                <w:szCs w:val="18"/>
                <w:lang w:eastAsia="ja-JP"/>
              </w:rPr>
              <w:t xml:space="preserve"> -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FrameBoundaryPSCell</w:t>
            </w:r>
            <w:proofErr w:type="spellEnd"/>
            <w:r w:rsidRPr="00AB4CEC">
              <w:rPr>
                <w:rFonts w:ascii="Arial" w:hAnsi="Arial" w:cs="Arial"/>
                <w:sz w:val="18"/>
                <w:szCs w:val="18"/>
                <w:lang w:eastAsia="ja-JP"/>
              </w:rPr>
              <w:t>) is [</w:t>
            </w:r>
            <w:r w:rsidRPr="00AB4CEC">
              <w:rPr>
                <w:rFonts w:ascii="Arial" w:hAnsi="Arial" w:cs="Arial"/>
                <w:sz w:val="18"/>
                <w:szCs w:val="18"/>
                <w:lang w:val="en-US" w:eastAsia="ja-JP"/>
              </w:rPr>
              <w:t>µs].</w:t>
            </w:r>
          </w:p>
          <w:p w:rsidR="0087526D" w:rsidRPr="00AB4CEC" w:rsidRDefault="0087526D" w:rsidP="00A455BA">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t xml:space="preserve">Subframe boundary offset =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SubframePCell</w:t>
            </w:r>
            <w:proofErr w:type="spellEnd"/>
            <w:r w:rsidRPr="00AB4CEC">
              <w:rPr>
                <w:rFonts w:ascii="Arial" w:hAnsi="Arial" w:cs="Arial"/>
                <w:sz w:val="18"/>
                <w:szCs w:val="18"/>
                <w:lang w:eastAsia="ja-JP"/>
              </w:rPr>
              <w:t xml:space="preserve"> -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SubframePSCell</w:t>
            </w:r>
            <w:proofErr w:type="spellEnd"/>
            <w:r w:rsidRPr="00AB4CEC">
              <w:rPr>
                <w:rFonts w:ascii="Arial" w:hAnsi="Arial" w:cs="Arial"/>
                <w:sz w:val="18"/>
                <w:szCs w:val="18"/>
                <w:lang w:eastAsia="ja-JP"/>
              </w:rPr>
              <w:t xml:space="preserve">, where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SubframePCell</w:t>
            </w:r>
            <w:proofErr w:type="spellEnd"/>
            <w:r w:rsidRPr="00AB4CEC">
              <w:rPr>
                <w:rFonts w:ascii="Arial" w:hAnsi="Arial" w:cs="Arial"/>
                <w:sz w:val="18"/>
                <w:szCs w:val="18"/>
                <w:lang w:eastAsia="ja-JP"/>
              </w:rPr>
              <w:t xml:space="preserve"> is the time when the UE receives the start of a subframe from the PCell and </w:t>
            </w:r>
            <w:proofErr w:type="spellStart"/>
            <w:r w:rsidRPr="00AB4CEC">
              <w:rPr>
                <w:rFonts w:ascii="Arial" w:hAnsi="Arial" w:cs="Arial"/>
                <w:sz w:val="18"/>
                <w:szCs w:val="18"/>
                <w:lang w:eastAsia="ja-JP"/>
              </w:rPr>
              <w:t>T</w:t>
            </w:r>
            <w:r w:rsidRPr="00AB4CEC">
              <w:rPr>
                <w:rFonts w:ascii="Arial" w:hAnsi="Arial" w:cs="Arial"/>
                <w:sz w:val="18"/>
                <w:szCs w:val="18"/>
                <w:vertAlign w:val="subscript"/>
                <w:lang w:eastAsia="ja-JP"/>
              </w:rPr>
              <w:t>SubframePSCell</w:t>
            </w:r>
            <w:proofErr w:type="spellEnd"/>
            <w:r w:rsidRPr="00AB4CEC">
              <w:rPr>
                <w:rFonts w:ascii="Arial" w:hAnsi="Arial" w:cs="Arial"/>
                <w:sz w:val="18"/>
                <w:szCs w:val="18"/>
                <w:lang w:eastAsia="ja-JP"/>
              </w:rPr>
              <w:t xml:space="preserve"> is the time when the UE receives the start of </w:t>
            </w:r>
            <w:r w:rsidRPr="00AB4CEC">
              <w:rPr>
                <w:rFonts w:ascii="Arial" w:eastAsia="MS Mincho" w:hAnsi="Arial" w:cs="Arial"/>
                <w:sz w:val="18"/>
                <w:szCs w:val="18"/>
                <w:lang w:eastAsia="ja-JP"/>
              </w:rPr>
              <w:t xml:space="preserve">the </w:t>
            </w:r>
            <w:r w:rsidRPr="00AB4CEC">
              <w:rPr>
                <w:rFonts w:ascii="Arial" w:hAnsi="Arial" w:cs="Arial"/>
                <w:sz w:val="18"/>
                <w:szCs w:val="18"/>
                <w:lang w:eastAsia="ja-JP"/>
              </w:rPr>
              <w:t>subframe from the PSCell that is closest in time to the subframe received from the PCell.</w:t>
            </w:r>
          </w:p>
          <w:p w:rsidR="0087526D" w:rsidRPr="006D5822" w:rsidRDefault="0087526D" w:rsidP="00A455BA">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87526D" w:rsidRPr="00486914" w:rsidTr="00A455BA">
        <w:trPr>
          <w:cantSplit/>
          <w:jc w:val="center"/>
        </w:trPr>
        <w:tc>
          <w:tcPr>
            <w:tcW w:w="1951" w:type="dxa"/>
          </w:tcPr>
          <w:p w:rsidR="0087526D" w:rsidRPr="006D5822" w:rsidRDefault="0087526D" w:rsidP="00A455BA">
            <w:pPr>
              <w:pStyle w:val="TAL"/>
              <w:rPr>
                <w:rFonts w:cs="Arial"/>
                <w:b/>
              </w:rPr>
            </w:pPr>
            <w:r w:rsidRPr="006D5822">
              <w:rPr>
                <w:rFonts w:cs="Arial"/>
                <w:b/>
              </w:rPr>
              <w:t>Applicable for</w:t>
            </w:r>
          </w:p>
        </w:tc>
        <w:tc>
          <w:tcPr>
            <w:tcW w:w="7787" w:type="dxa"/>
          </w:tcPr>
          <w:p w:rsidR="0087526D" w:rsidRPr="006D5822" w:rsidRDefault="0087526D" w:rsidP="00A455BA">
            <w:pPr>
              <w:pStyle w:val="TAL"/>
              <w:rPr>
                <w:rFonts w:cs="Arial"/>
              </w:rPr>
            </w:pPr>
            <w:r w:rsidRPr="006D5822">
              <w:rPr>
                <w:rFonts w:cs="Arial"/>
              </w:rPr>
              <w:t>RRC_CONNECTED intra-frequency</w:t>
            </w:r>
          </w:p>
        </w:tc>
      </w:tr>
    </w:tbl>
    <w:p w:rsidR="0087526D" w:rsidRDefault="0087526D" w:rsidP="0087526D"/>
    <w:p w:rsidR="0087526D" w:rsidRPr="000972BA" w:rsidRDefault="0087526D" w:rsidP="0087526D">
      <w:pPr>
        <w:jc w:val="both"/>
        <w:rPr>
          <w:sz w:val="22"/>
        </w:rPr>
      </w:pPr>
      <w:r w:rsidRPr="000972BA">
        <w:rPr>
          <w:i/>
          <w:noProof/>
          <w:sz w:val="24"/>
          <w:lang w:val="en-US"/>
        </w:rPr>
        <w:lastRenderedPageBreak/>
        <mc:AlternateContent>
          <mc:Choice Requires="wps">
            <w:drawing>
              <wp:anchor distT="45720" distB="45720" distL="114300" distR="114300" simplePos="0" relativeHeight="251661312" behindDoc="0" locked="0" layoutInCell="1" allowOverlap="1" wp14:anchorId="649D17F5" wp14:editId="79ACF9B4">
                <wp:simplePos x="0" y="0"/>
                <wp:positionH relativeFrom="margin">
                  <wp:align>center</wp:align>
                </wp:positionH>
                <wp:positionV relativeFrom="paragraph">
                  <wp:posOffset>683655</wp:posOffset>
                </wp:positionV>
                <wp:extent cx="6357600" cy="1404620"/>
                <wp:effectExtent l="0" t="0" r="24765" b="2349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7600" cy="1404620"/>
                        </a:xfrm>
                        <a:prstGeom prst="rect">
                          <a:avLst/>
                        </a:prstGeom>
                        <a:solidFill>
                          <a:srgbClr val="FFFFFF"/>
                        </a:solidFill>
                        <a:ln w="9525">
                          <a:solidFill>
                            <a:srgbClr val="000000"/>
                          </a:solidFill>
                          <a:miter lim="800000"/>
                          <a:headEnd/>
                          <a:tailEnd/>
                        </a:ln>
                      </wps:spPr>
                      <wps:txbx>
                        <w:txbxContent>
                          <w:p w:rsidR="00D91D46" w:rsidRPr="00A9351C" w:rsidRDefault="00D91D46" w:rsidP="0087526D">
                            <w:pPr>
                              <w:keepNext/>
                              <w:keepLines/>
                              <w:spacing w:before="120"/>
                              <w:ind w:left="1418" w:hanging="1418"/>
                              <w:outlineLvl w:val="3"/>
                              <w:rPr>
                                <w:sz w:val="24"/>
                                <w:lang w:val="x-none"/>
                              </w:rPr>
                            </w:pPr>
                            <w:r w:rsidRPr="00A9351C">
                              <w:rPr>
                                <w:rFonts w:hint="eastAsia"/>
                                <w:i/>
                                <w:noProof/>
                                <w:sz w:val="24"/>
                                <w:lang w:val="x-none"/>
                              </w:rPr>
                              <w:t>MeasResultSSTD</w:t>
                            </w:r>
                          </w:p>
                          <w:p w:rsidR="00D91D46" w:rsidRPr="00A9351C" w:rsidRDefault="00D91D46" w:rsidP="0087526D">
                            <w:r w:rsidRPr="00A9351C">
                              <w:t xml:space="preserve">The IE </w:t>
                            </w:r>
                            <w:r w:rsidRPr="00A9351C">
                              <w:rPr>
                                <w:rFonts w:hint="eastAsia"/>
                                <w:i/>
                                <w:noProof/>
                              </w:rPr>
                              <w:t>MeasResultSSTD</w:t>
                            </w:r>
                            <w:r w:rsidRPr="00A9351C">
                              <w:t xml:space="preserve"> </w:t>
                            </w:r>
                            <w:r w:rsidRPr="00A9351C">
                              <w:rPr>
                                <w:rFonts w:hint="eastAsia"/>
                              </w:rPr>
                              <w:t>consists of SFN, radio frame and subframe boundary difference between the PCell and the PSCell as specified in TS 36.214 [48]</w:t>
                            </w:r>
                            <w:r w:rsidRPr="00A9351C">
                              <w:t xml:space="preserve"> and TS 36.133 [16].</w:t>
                            </w:r>
                          </w:p>
                          <w:p w:rsidR="00D91D46" w:rsidRPr="00A9351C" w:rsidRDefault="00D91D46" w:rsidP="0087526D">
                            <w:pPr>
                              <w:pStyle w:val="TH"/>
                            </w:pPr>
                            <w:proofErr w:type="spellStart"/>
                            <w:r w:rsidRPr="00A9351C">
                              <w:rPr>
                                <w:rFonts w:hint="eastAsia"/>
                                <w:bCs/>
                                <w:i/>
                                <w:iCs/>
                              </w:rPr>
                              <w:t>MeasResultSSTD</w:t>
                            </w:r>
                            <w:proofErr w:type="spellEnd"/>
                            <w:r w:rsidRPr="00A9351C">
                              <w:rPr>
                                <w:bCs/>
                                <w:i/>
                                <w:iCs/>
                              </w:rPr>
                              <w:t xml:space="preserve"> </w:t>
                            </w:r>
                            <w:smartTag w:uri="urn:schemas-microsoft-com:office:smarttags" w:element="PersonName">
                              <w:r w:rsidRPr="00A9351C">
                                <w:t>info</w:t>
                              </w:r>
                            </w:smartTag>
                            <w:r w:rsidRPr="00A9351C">
                              <w:t>rmation element</w:t>
                            </w:r>
                          </w:p>
                          <w:p w:rsidR="00D91D46" w:rsidRPr="005C6930" w:rsidRDefault="00D91D46" w:rsidP="0087526D">
                            <w:pPr>
                              <w:pStyle w:val="PL"/>
                              <w:shd w:val="clear" w:color="auto" w:fill="E6E6E6"/>
                              <w:rPr>
                                <w:sz w:val="20"/>
                                <w:lang w:val="en-US"/>
                              </w:rPr>
                            </w:pPr>
                            <w:r w:rsidRPr="005C6930">
                              <w:rPr>
                                <w:sz w:val="20"/>
                                <w:lang w:val="en-US"/>
                              </w:rPr>
                              <w:t>-- ASN1START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rFonts w:hint="eastAsia"/>
                                <w:sz w:val="20"/>
                                <w:lang w:val="en-US"/>
                              </w:rPr>
                              <w:t>MeasResultSSTD</w:t>
                            </w:r>
                            <w:r w:rsidRPr="005C6930">
                              <w:rPr>
                                <w:sz w:val="20"/>
                                <w:lang w:val="en-US"/>
                              </w:rPr>
                              <w:t>-r</w:t>
                            </w:r>
                            <w:r w:rsidRPr="005C6930">
                              <w:rPr>
                                <w:rFonts w:hint="eastAsia"/>
                                <w:sz w:val="20"/>
                                <w:lang w:val="en-US"/>
                              </w:rPr>
                              <w:t>13</w:t>
                            </w:r>
                            <w:r w:rsidRPr="005C6930">
                              <w:rPr>
                                <w:sz w:val="20"/>
                                <w:lang w:val="en-US"/>
                              </w:rPr>
                              <w:t xml:space="preserve"> ::=</w:t>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SEQUENCE {</w:t>
                            </w:r>
                          </w:p>
                          <w:p w:rsidR="00D91D46" w:rsidRPr="005C6930" w:rsidRDefault="00D91D46" w:rsidP="0087526D">
                            <w:pPr>
                              <w:pStyle w:val="PL"/>
                              <w:shd w:val="clear" w:color="auto" w:fill="E6E6E6"/>
                              <w:rPr>
                                <w:sz w:val="20"/>
                                <w:lang w:val="en-US"/>
                              </w:rPr>
                            </w:pPr>
                            <w:r w:rsidRPr="005C6930">
                              <w:rPr>
                                <w:sz w:val="20"/>
                                <w:lang w:val="en-US"/>
                              </w:rPr>
                              <w:tab/>
                              <w:t>sfn-</w:t>
                            </w:r>
                            <w:r w:rsidRPr="005C6930">
                              <w:rPr>
                                <w:rFonts w:hint="eastAsia"/>
                                <w:sz w:val="20"/>
                                <w:lang w:val="en-US"/>
                              </w:rPr>
                              <w:t>Offset</w:t>
                            </w:r>
                            <w:r w:rsidRPr="005C6930">
                              <w:rPr>
                                <w:sz w:val="20"/>
                                <w:lang w:val="en-US"/>
                              </w:rPr>
                              <w:t>Result-r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1023</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ab/>
                            </w:r>
                            <w:r w:rsidRPr="005C6930">
                              <w:rPr>
                                <w:rFonts w:hint="eastAsia"/>
                                <w:sz w:val="20"/>
                                <w:lang w:val="en-US"/>
                              </w:rPr>
                              <w:t>frameBoundaryOffsetR</w:t>
                            </w:r>
                            <w:r w:rsidRPr="005C6930">
                              <w:rPr>
                                <w:sz w:val="20"/>
                                <w:lang w:val="en-US"/>
                              </w:rPr>
                              <w:t>e</w:t>
                            </w:r>
                            <w:r w:rsidRPr="005C6930">
                              <w:rPr>
                                <w:rFonts w:hint="eastAsia"/>
                                <w:sz w:val="20"/>
                                <w:lang w:val="en-US"/>
                              </w:rPr>
                              <w:t>sul</w:t>
                            </w:r>
                            <w:r w:rsidRPr="005C6930">
                              <w:rPr>
                                <w:sz w:val="20"/>
                                <w:lang w:val="en-US"/>
                              </w:rPr>
                              <w:t>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t>INTEGER (</w:t>
                            </w:r>
                            <w:r w:rsidRPr="005C6930">
                              <w:rPr>
                                <w:rFonts w:hint="eastAsia"/>
                                <w:sz w:val="20"/>
                                <w:lang w:val="en-US"/>
                              </w:rPr>
                              <w:t>-5</w:t>
                            </w:r>
                            <w:r w:rsidRPr="005C6930">
                              <w:rPr>
                                <w:sz w:val="20"/>
                                <w:lang w:val="en-US"/>
                              </w:rPr>
                              <w:t>..</w:t>
                            </w:r>
                            <w:r w:rsidRPr="005C6930">
                              <w:rPr>
                                <w:rFonts w:hint="eastAsia"/>
                                <w:sz w:val="20"/>
                                <w:lang w:val="en-US"/>
                              </w:rPr>
                              <w:t>4</w:t>
                            </w:r>
                            <w:r w:rsidRPr="005C6930">
                              <w:rPr>
                                <w:sz w:val="20"/>
                                <w:lang w:val="en-US"/>
                              </w:rPr>
                              <w:t>),</w:t>
                            </w:r>
                          </w:p>
                          <w:p w:rsidR="00D91D46" w:rsidRPr="005C6930" w:rsidRDefault="00D91D46" w:rsidP="0087526D">
                            <w:pPr>
                              <w:pStyle w:val="PL"/>
                              <w:shd w:val="clear" w:color="auto" w:fill="E6E6E6"/>
                              <w:rPr>
                                <w:sz w:val="20"/>
                                <w:lang w:val="en-US"/>
                              </w:rPr>
                            </w:pPr>
                            <w:r w:rsidRPr="005C6930">
                              <w:rPr>
                                <w:rFonts w:hint="eastAsia"/>
                                <w:sz w:val="20"/>
                                <w:lang w:val="en-US"/>
                              </w:rPr>
                              <w:tab/>
                              <w:t>subframeBoundaryOffsetResult-r13</w:t>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127</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sz w:val="20"/>
                                <w:lang w:val="en-US"/>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D46" w:rsidRPr="00A9351C" w:rsidTr="00A455BA">
                              <w:trPr>
                                <w:cantSplit/>
                                <w:tblHeader/>
                              </w:trPr>
                              <w:tc>
                                <w:tcPr>
                                  <w:tcW w:w="9639" w:type="dxa"/>
                                </w:tcPr>
                                <w:p w:rsidR="00D91D46" w:rsidRPr="00A9351C" w:rsidRDefault="00D91D46" w:rsidP="000972BA">
                                  <w:pPr>
                                    <w:keepNext/>
                                    <w:keepLines/>
                                    <w:jc w:val="center"/>
                                    <w:rPr>
                                      <w:b/>
                                      <w:sz w:val="18"/>
                                    </w:rPr>
                                  </w:pPr>
                                  <w:r w:rsidRPr="00A9351C">
                                    <w:rPr>
                                      <w:rFonts w:hint="eastAsia"/>
                                      <w:b/>
                                      <w:i/>
                                      <w:noProof/>
                                      <w:sz w:val="18"/>
                                    </w:rPr>
                                    <w:t>MeasResultSSTD</w:t>
                                  </w:r>
                                  <w:r w:rsidRPr="00A9351C">
                                    <w:rPr>
                                      <w:b/>
                                      <w:i/>
                                      <w:noProof/>
                                      <w:sz w:val="18"/>
                                    </w:rPr>
                                    <w:t xml:space="preserve"> </w:t>
                                  </w:r>
                                  <w:r w:rsidRPr="00A9351C">
                                    <w:rPr>
                                      <w:b/>
                                      <w:iCs/>
                                      <w:noProof/>
                                      <w:sz w:val="18"/>
                                    </w:rPr>
                                    <w:t>field descriptions</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b/>
                                      <w:i/>
                                      <w:noProof/>
                                      <w:sz w:val="18"/>
                                    </w:rPr>
                                    <w:t>sfn-</w:t>
                                  </w:r>
                                  <w:r w:rsidRPr="00A9351C">
                                    <w:rPr>
                                      <w:rFonts w:hint="eastAsia"/>
                                      <w:b/>
                                      <w:i/>
                                      <w:noProof/>
                                      <w:sz w:val="18"/>
                                    </w:rPr>
                                    <w:t>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SFN </w:t>
                                  </w:r>
                                  <w:r w:rsidRPr="00A9351C">
                                    <w:rPr>
                                      <w:sz w:val="18"/>
                                    </w:rPr>
                                    <w:t>difference</w:t>
                                  </w:r>
                                  <w:r w:rsidRPr="00A9351C">
                                    <w:rPr>
                                      <w:rFonts w:hint="eastAsia"/>
                                      <w:sz w:val="18"/>
                                    </w:rPr>
                                    <w:t xml:space="preserve"> between the PCell and the PSCell as an integer value according to TS 36.214 [48].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frame boundary </w:t>
                                  </w:r>
                                  <w:r w:rsidRPr="00A9351C">
                                    <w:rPr>
                                      <w:sz w:val="18"/>
                                    </w:rPr>
                                    <w:t>difference</w:t>
                                  </w:r>
                                  <w:r w:rsidRPr="00A9351C">
                                    <w:rPr>
                                      <w:rFonts w:hint="eastAsia"/>
                                      <w:sz w:val="18"/>
                                    </w:rPr>
                                    <w:t xml:space="preserve"> between the PCell and the PSCell as an integer value according to TS 36.214 </w:t>
                                  </w:r>
                                  <w:r w:rsidRPr="00A9351C">
                                    <w:rPr>
                                      <w:sz w:val="18"/>
                                    </w:rPr>
                                    <w:t>[48].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subframeBoundaryOffset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sz w:val="18"/>
                                      <w:lang w:eastAsia="zh-CN"/>
                                    </w:rPr>
                                    <w:t xml:space="preserve">Indicates the subframe boundary difference between the PCell and the PSCell </w:t>
                                  </w:r>
                                  <w:r w:rsidRPr="00A9351C">
                                    <w:rPr>
                                      <w:rFonts w:hint="eastAsia"/>
                                      <w:sz w:val="18"/>
                                    </w:rPr>
                                    <w:t xml:space="preserve">as an integer value </w:t>
                                  </w:r>
                                  <w:r w:rsidRPr="00A9351C">
                                    <w:rPr>
                                      <w:sz w:val="18"/>
                                      <w:lang w:eastAsia="zh-CN"/>
                                    </w:rPr>
                                    <w:t>a</w:t>
                                  </w:r>
                                  <w:r w:rsidRPr="00A9351C">
                                    <w:rPr>
                                      <w:rFonts w:hint="eastAsia"/>
                                      <w:sz w:val="18"/>
                                    </w:rPr>
                                    <w:t>ccording to</w:t>
                                  </w:r>
                                  <w:r w:rsidRPr="00A9351C">
                                    <w:rPr>
                                      <w:sz w:val="18"/>
                                      <w:lang w:eastAsia="zh-CN"/>
                                    </w:rPr>
                                    <w:t xml:space="preserve"> the mapping table in TS 36.133 [16].</w:t>
                                  </w:r>
                                </w:p>
                              </w:tc>
                            </w:tr>
                          </w:tbl>
                          <w:p w:rsidR="00D91D46" w:rsidRDefault="00D91D46" w:rsidP="0087526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49D17F5" id="_x0000_t202" coordsize="21600,21600" o:spt="202" path="m,l,21600r21600,l21600,xe">
                <v:stroke joinstyle="miter"/>
                <v:path gradientshapeok="t" o:connecttype="rect"/>
              </v:shapetype>
              <v:shape id="Text Box 2" o:spid="_x0000_s1026" type="#_x0000_t202" style="position:absolute;left:0;text-align:left;margin-left:0;margin-top:53.85pt;width:500.6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pZtIwIAAEUEAAAOAAAAZHJzL2Uyb0RvYy54bWysU9tu2zAMfR+wfxD0vthJk7Q14hRdugwD&#10;ugvQ7gNoWY6FyaImKbG7rx8lp1nQbS/D9CCIInVEnkOuboZOs4N0XqEp+XSScyaNwFqZXcm/Pm7f&#10;XHHmA5gaNBpZ8ifp+c369atVbws5wxZ1LR0jEOOL3pa8DcEWWeZFKzvwE7TSkLNB10Eg0+2y2kFP&#10;6J3OZnm+zHp0tXUopPd0ezc6+TrhN40U4XPTeBmYLjnlFtLu0l7FPVuvoNg5sK0SxzTgH7LoQBn6&#10;9AR1BwHY3qnfoDolHHpswkRgl2HTKCFTDVTNNH9RzUMLVqZaiBxvTzT5/wcrPh2+OKbqkl9wZqAj&#10;iR7lENhbHNgsstNbX1DQg6WwMNA1qZwq9fYexTfPDG5aMDt56xz2rYSaspvGl9nZ0xHHR5Cq/4g1&#10;fQP7gAloaFwXqSMyGKGTSk8nZWIqgi6XF4vLZU4uQb7pPJ8vZ0m7DIrn59b58F5ix+Kh5I6kT/Bw&#10;uPchpgPFc0j8zaNW9VZpnQy3qzbasQNQm2zTShW8CNOG9SW/XswWIwN/hcjT+hNEpwL1u1Zdya9O&#10;QVBE3t6ZOnVjAKXHM6WszZHIyN3IYhiq4ShMhfUTUepw7GuaQzq06H5w1lNPl9x/34OTnOkPhmS5&#10;ns7ncQiSMV9cEofMnXuqcw8YQVAlD5yNx01Ig5MIs7ck31YlYqPOYybHXKlXE9/HuYrDcG6nqF/T&#10;v/4JAAD//wMAUEsDBBQABgAIAAAAIQBQUGqO3gAAAAkBAAAPAAAAZHJzL2Rvd25yZXYueG1sTI/N&#10;TsMwEITvSLyDtUhcKmo3VX8I2VRQqSdODeXuxksSEa+D7bbp2+Oe4Dg7q5lvis1oe3EmHzrHCLOp&#10;AkFcO9Nxg3D42D2tQYSo2ejeMSFcKcCmvL8rdG7chfd0rmIjUgiHXCO0MQ65lKFuyeowdQNx8r6c&#10;tzom6RtpvL6kcNvLTKmltLrj1NDqgbYt1d/VySIsf6r55P3TTHh/3b352i7M9rBAfHwYX19ARBrj&#10;3zPc8BM6lInp6E5sgugR0pCYrmq1AnGzlZplII4I82z9DLIs5P8F5S8AAAD//wMAUEsBAi0AFAAG&#10;AAgAAAAhALaDOJL+AAAA4QEAABMAAAAAAAAAAAAAAAAAAAAAAFtDb250ZW50X1R5cGVzXS54bWxQ&#10;SwECLQAUAAYACAAAACEAOP0h/9YAAACUAQAACwAAAAAAAAAAAAAAAAAvAQAAX3JlbHMvLnJlbHNQ&#10;SwECLQAUAAYACAAAACEAj96WbSMCAABFBAAADgAAAAAAAAAAAAAAAAAuAgAAZHJzL2Uyb0RvYy54&#10;bWxQSwECLQAUAAYACAAAACEAUFBqjt4AAAAJAQAADwAAAAAAAAAAAAAAAAB9BAAAZHJzL2Rvd25y&#10;ZXYueG1sUEsFBgAAAAAEAAQA8wAAAIgFAAAAAA==&#10;">
                <v:textbox style="mso-fit-shape-to-text:t">
                  <w:txbxContent>
                    <w:p w:rsidR="00D91D46" w:rsidRPr="00A9351C" w:rsidRDefault="00D91D46" w:rsidP="0087526D">
                      <w:pPr>
                        <w:keepNext/>
                        <w:keepLines/>
                        <w:spacing w:before="120"/>
                        <w:ind w:left="1418" w:hanging="1418"/>
                        <w:outlineLvl w:val="3"/>
                        <w:rPr>
                          <w:sz w:val="24"/>
                          <w:lang w:val="x-none"/>
                        </w:rPr>
                      </w:pPr>
                      <w:r w:rsidRPr="00A9351C">
                        <w:rPr>
                          <w:rFonts w:hint="eastAsia"/>
                          <w:i/>
                          <w:noProof/>
                          <w:sz w:val="24"/>
                          <w:lang w:val="x-none"/>
                        </w:rPr>
                        <w:t>MeasResultSSTD</w:t>
                      </w:r>
                    </w:p>
                    <w:p w:rsidR="00D91D46" w:rsidRPr="00A9351C" w:rsidRDefault="00D91D46" w:rsidP="0087526D">
                      <w:r w:rsidRPr="00A9351C">
                        <w:t xml:space="preserve">The IE </w:t>
                      </w:r>
                      <w:r w:rsidRPr="00A9351C">
                        <w:rPr>
                          <w:rFonts w:hint="eastAsia"/>
                          <w:i/>
                          <w:noProof/>
                        </w:rPr>
                        <w:t>MeasResultSSTD</w:t>
                      </w:r>
                      <w:r w:rsidRPr="00A9351C">
                        <w:t xml:space="preserve"> </w:t>
                      </w:r>
                      <w:r w:rsidRPr="00A9351C">
                        <w:rPr>
                          <w:rFonts w:hint="eastAsia"/>
                        </w:rPr>
                        <w:t>consists of SFN, radio frame and subframe boundary difference between the PCell and the PSCell as specified in TS 36.214 [48]</w:t>
                      </w:r>
                      <w:r w:rsidRPr="00A9351C">
                        <w:t xml:space="preserve"> and TS 36.133 [16].</w:t>
                      </w:r>
                    </w:p>
                    <w:p w:rsidR="00D91D46" w:rsidRPr="00A9351C" w:rsidRDefault="00D91D46" w:rsidP="0087526D">
                      <w:pPr>
                        <w:pStyle w:val="TH"/>
                      </w:pPr>
                      <w:proofErr w:type="spellStart"/>
                      <w:r w:rsidRPr="00A9351C">
                        <w:rPr>
                          <w:rFonts w:hint="eastAsia"/>
                          <w:bCs/>
                          <w:i/>
                          <w:iCs/>
                        </w:rPr>
                        <w:t>MeasResultSSTD</w:t>
                      </w:r>
                      <w:proofErr w:type="spellEnd"/>
                      <w:r w:rsidRPr="00A9351C">
                        <w:rPr>
                          <w:bCs/>
                          <w:i/>
                          <w:iCs/>
                        </w:rPr>
                        <w:t xml:space="preserve"> </w:t>
                      </w:r>
                      <w:smartTag w:uri="urn:schemas-microsoft-com:office:smarttags" w:element="PersonName">
                        <w:r w:rsidRPr="00A9351C">
                          <w:t>info</w:t>
                        </w:r>
                      </w:smartTag>
                      <w:r w:rsidRPr="00A9351C">
                        <w:t>rmation element</w:t>
                      </w:r>
                    </w:p>
                    <w:p w:rsidR="00D91D46" w:rsidRPr="005C6930" w:rsidRDefault="00D91D46" w:rsidP="0087526D">
                      <w:pPr>
                        <w:pStyle w:val="PL"/>
                        <w:shd w:val="clear" w:color="auto" w:fill="E6E6E6"/>
                        <w:rPr>
                          <w:sz w:val="20"/>
                          <w:lang w:val="en-US"/>
                        </w:rPr>
                      </w:pPr>
                      <w:r w:rsidRPr="005C6930">
                        <w:rPr>
                          <w:sz w:val="20"/>
                          <w:lang w:val="en-US"/>
                        </w:rPr>
                        <w:t>-- ASN1START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rFonts w:hint="eastAsia"/>
                          <w:sz w:val="20"/>
                          <w:lang w:val="en-US"/>
                        </w:rPr>
                        <w:t>MeasResultSSTD</w:t>
                      </w:r>
                      <w:r w:rsidRPr="005C6930">
                        <w:rPr>
                          <w:sz w:val="20"/>
                          <w:lang w:val="en-US"/>
                        </w:rPr>
                        <w:t>-r</w:t>
                      </w:r>
                      <w:r w:rsidRPr="005C6930">
                        <w:rPr>
                          <w:rFonts w:hint="eastAsia"/>
                          <w:sz w:val="20"/>
                          <w:lang w:val="en-US"/>
                        </w:rPr>
                        <w:t>13</w:t>
                      </w:r>
                      <w:r w:rsidRPr="005C6930">
                        <w:rPr>
                          <w:sz w:val="20"/>
                          <w:lang w:val="en-US"/>
                        </w:rPr>
                        <w:t xml:space="preserve"> ::=</w:t>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SEQUENCE {</w:t>
                      </w:r>
                    </w:p>
                    <w:p w:rsidR="00D91D46" w:rsidRPr="005C6930" w:rsidRDefault="00D91D46" w:rsidP="0087526D">
                      <w:pPr>
                        <w:pStyle w:val="PL"/>
                        <w:shd w:val="clear" w:color="auto" w:fill="E6E6E6"/>
                        <w:rPr>
                          <w:sz w:val="20"/>
                          <w:lang w:val="en-US"/>
                        </w:rPr>
                      </w:pPr>
                      <w:r w:rsidRPr="005C6930">
                        <w:rPr>
                          <w:sz w:val="20"/>
                          <w:lang w:val="en-US"/>
                        </w:rPr>
                        <w:tab/>
                        <w:t>sfn-</w:t>
                      </w:r>
                      <w:r w:rsidRPr="005C6930">
                        <w:rPr>
                          <w:rFonts w:hint="eastAsia"/>
                          <w:sz w:val="20"/>
                          <w:lang w:val="en-US"/>
                        </w:rPr>
                        <w:t>Offset</w:t>
                      </w:r>
                      <w:r w:rsidRPr="005C6930">
                        <w:rPr>
                          <w:sz w:val="20"/>
                          <w:lang w:val="en-US"/>
                        </w:rPr>
                        <w:t>Result-r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1023</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ab/>
                      </w:r>
                      <w:r w:rsidRPr="005C6930">
                        <w:rPr>
                          <w:rFonts w:hint="eastAsia"/>
                          <w:sz w:val="20"/>
                          <w:lang w:val="en-US"/>
                        </w:rPr>
                        <w:t>frameBoundaryOffsetR</w:t>
                      </w:r>
                      <w:r w:rsidRPr="005C6930">
                        <w:rPr>
                          <w:sz w:val="20"/>
                          <w:lang w:val="en-US"/>
                        </w:rPr>
                        <w:t>e</w:t>
                      </w:r>
                      <w:r w:rsidRPr="005C6930">
                        <w:rPr>
                          <w:rFonts w:hint="eastAsia"/>
                          <w:sz w:val="20"/>
                          <w:lang w:val="en-US"/>
                        </w:rPr>
                        <w:t>sul</w:t>
                      </w:r>
                      <w:r w:rsidRPr="005C6930">
                        <w:rPr>
                          <w:sz w:val="20"/>
                          <w:lang w:val="en-US"/>
                        </w:rPr>
                        <w:t>t-r</w:t>
                      </w:r>
                      <w:r w:rsidRPr="005C6930">
                        <w:rPr>
                          <w:rFonts w:hint="eastAsia"/>
                          <w:sz w:val="20"/>
                          <w:lang w:val="en-US"/>
                        </w:rPr>
                        <w:t>13</w:t>
                      </w:r>
                      <w:r w:rsidRPr="005C6930">
                        <w:rPr>
                          <w:sz w:val="20"/>
                          <w:lang w:val="en-US"/>
                        </w:rPr>
                        <w:tab/>
                      </w:r>
                      <w:r w:rsidRPr="005C6930">
                        <w:rPr>
                          <w:sz w:val="20"/>
                          <w:lang w:val="en-US"/>
                        </w:rPr>
                        <w:tab/>
                      </w:r>
                      <w:r w:rsidRPr="005C6930">
                        <w:rPr>
                          <w:sz w:val="20"/>
                          <w:lang w:val="en-US"/>
                        </w:rPr>
                        <w:tab/>
                      </w:r>
                      <w:r w:rsidRPr="005C6930">
                        <w:rPr>
                          <w:sz w:val="20"/>
                          <w:lang w:val="en-US"/>
                        </w:rPr>
                        <w:tab/>
                        <w:t>INTEGER (</w:t>
                      </w:r>
                      <w:r w:rsidRPr="005C6930">
                        <w:rPr>
                          <w:rFonts w:hint="eastAsia"/>
                          <w:sz w:val="20"/>
                          <w:lang w:val="en-US"/>
                        </w:rPr>
                        <w:t>-5</w:t>
                      </w:r>
                      <w:r w:rsidRPr="005C6930">
                        <w:rPr>
                          <w:sz w:val="20"/>
                          <w:lang w:val="en-US"/>
                        </w:rPr>
                        <w:t>..</w:t>
                      </w:r>
                      <w:r w:rsidRPr="005C6930">
                        <w:rPr>
                          <w:rFonts w:hint="eastAsia"/>
                          <w:sz w:val="20"/>
                          <w:lang w:val="en-US"/>
                        </w:rPr>
                        <w:t>4</w:t>
                      </w:r>
                      <w:r w:rsidRPr="005C6930">
                        <w:rPr>
                          <w:sz w:val="20"/>
                          <w:lang w:val="en-US"/>
                        </w:rPr>
                        <w:t>),</w:t>
                      </w:r>
                    </w:p>
                    <w:p w:rsidR="00D91D46" w:rsidRPr="005C6930" w:rsidRDefault="00D91D46" w:rsidP="0087526D">
                      <w:pPr>
                        <w:pStyle w:val="PL"/>
                        <w:shd w:val="clear" w:color="auto" w:fill="E6E6E6"/>
                        <w:rPr>
                          <w:sz w:val="20"/>
                          <w:lang w:val="en-US"/>
                        </w:rPr>
                      </w:pPr>
                      <w:r w:rsidRPr="005C6930">
                        <w:rPr>
                          <w:rFonts w:hint="eastAsia"/>
                          <w:sz w:val="20"/>
                          <w:lang w:val="en-US"/>
                        </w:rPr>
                        <w:tab/>
                        <w:t>subframeBoundaryOffsetResult-r13</w:t>
                      </w:r>
                      <w:r w:rsidRPr="005C6930">
                        <w:rPr>
                          <w:rFonts w:hint="eastAsia"/>
                          <w:sz w:val="20"/>
                          <w:lang w:val="en-US"/>
                        </w:rPr>
                        <w:tab/>
                      </w:r>
                      <w:r w:rsidRPr="005C6930">
                        <w:rPr>
                          <w:rFonts w:hint="eastAsia"/>
                          <w:sz w:val="20"/>
                          <w:lang w:val="en-US"/>
                        </w:rPr>
                        <w:tab/>
                      </w:r>
                      <w:r w:rsidRPr="005C6930">
                        <w:rPr>
                          <w:rFonts w:hint="eastAsia"/>
                          <w:sz w:val="20"/>
                          <w:lang w:val="en-US"/>
                        </w:rPr>
                        <w:tab/>
                      </w:r>
                      <w:r w:rsidRPr="005C6930">
                        <w:rPr>
                          <w:sz w:val="20"/>
                          <w:lang w:val="en-US"/>
                        </w:rPr>
                        <w:t>INTEGER (</w:t>
                      </w:r>
                      <w:r w:rsidRPr="005C6930">
                        <w:rPr>
                          <w:rFonts w:hint="eastAsia"/>
                          <w:sz w:val="20"/>
                          <w:lang w:val="en-US"/>
                        </w:rPr>
                        <w:t>0</w:t>
                      </w:r>
                      <w:r w:rsidRPr="005C6930">
                        <w:rPr>
                          <w:sz w:val="20"/>
                          <w:lang w:val="en-US"/>
                        </w:rPr>
                        <w:t>..</w:t>
                      </w:r>
                      <w:r w:rsidRPr="005C6930">
                        <w:rPr>
                          <w:rFonts w:hint="eastAsia"/>
                          <w:sz w:val="20"/>
                          <w:lang w:val="en-US"/>
                        </w:rPr>
                        <w:t>127</w:t>
                      </w:r>
                      <w:r w:rsidRPr="005C6930">
                        <w:rPr>
                          <w:sz w:val="20"/>
                          <w:lang w:val="en-US"/>
                        </w:rPr>
                        <w:t>)</w:t>
                      </w:r>
                    </w:p>
                    <w:p w:rsidR="00D91D46" w:rsidRPr="005C6930" w:rsidRDefault="00D91D46" w:rsidP="0087526D">
                      <w:pPr>
                        <w:pStyle w:val="PL"/>
                        <w:shd w:val="clear" w:color="auto" w:fill="E6E6E6"/>
                        <w:rPr>
                          <w:sz w:val="20"/>
                          <w:lang w:val="en-US"/>
                        </w:rPr>
                      </w:pPr>
                      <w:r w:rsidRPr="005C6930">
                        <w:rPr>
                          <w:sz w:val="20"/>
                          <w:lang w:val="en-US"/>
                        </w:rPr>
                        <w:t>}</w:t>
                      </w:r>
                    </w:p>
                    <w:p w:rsidR="00D91D46" w:rsidRPr="005C6930" w:rsidRDefault="00D91D46" w:rsidP="0087526D">
                      <w:pPr>
                        <w:pStyle w:val="PL"/>
                        <w:shd w:val="clear" w:color="auto" w:fill="E6E6E6"/>
                        <w:rPr>
                          <w:sz w:val="20"/>
                          <w:lang w:val="en-US"/>
                        </w:rPr>
                      </w:pPr>
                    </w:p>
                    <w:p w:rsidR="00D91D46" w:rsidRPr="005C6930" w:rsidRDefault="00D91D46" w:rsidP="0087526D">
                      <w:pPr>
                        <w:pStyle w:val="PL"/>
                        <w:shd w:val="clear" w:color="auto" w:fill="E6E6E6"/>
                        <w:rPr>
                          <w:sz w:val="20"/>
                          <w:lang w:val="en-US"/>
                        </w:rPr>
                      </w:pPr>
                      <w:r w:rsidRPr="005C6930">
                        <w:rPr>
                          <w:sz w:val="20"/>
                          <w:lang w:val="en-US"/>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91D46" w:rsidRPr="00A9351C" w:rsidTr="00A455BA">
                        <w:trPr>
                          <w:cantSplit/>
                          <w:tblHeader/>
                        </w:trPr>
                        <w:tc>
                          <w:tcPr>
                            <w:tcW w:w="9639" w:type="dxa"/>
                          </w:tcPr>
                          <w:p w:rsidR="00D91D46" w:rsidRPr="00A9351C" w:rsidRDefault="00D91D46" w:rsidP="000972BA">
                            <w:pPr>
                              <w:keepNext/>
                              <w:keepLines/>
                              <w:jc w:val="center"/>
                              <w:rPr>
                                <w:b/>
                                <w:sz w:val="18"/>
                              </w:rPr>
                            </w:pPr>
                            <w:r w:rsidRPr="00A9351C">
                              <w:rPr>
                                <w:rFonts w:hint="eastAsia"/>
                                <w:b/>
                                <w:i/>
                                <w:noProof/>
                                <w:sz w:val="18"/>
                              </w:rPr>
                              <w:t>MeasResultSSTD</w:t>
                            </w:r>
                            <w:r w:rsidRPr="00A9351C">
                              <w:rPr>
                                <w:b/>
                                <w:i/>
                                <w:noProof/>
                                <w:sz w:val="18"/>
                              </w:rPr>
                              <w:t xml:space="preserve"> </w:t>
                            </w:r>
                            <w:r w:rsidRPr="00A9351C">
                              <w:rPr>
                                <w:b/>
                                <w:iCs/>
                                <w:noProof/>
                                <w:sz w:val="18"/>
                              </w:rPr>
                              <w:t>field descriptions</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b/>
                                <w:i/>
                                <w:noProof/>
                                <w:sz w:val="18"/>
                              </w:rPr>
                              <w:t>sfn-</w:t>
                            </w:r>
                            <w:r w:rsidRPr="00A9351C">
                              <w:rPr>
                                <w:rFonts w:hint="eastAsia"/>
                                <w:b/>
                                <w:i/>
                                <w:noProof/>
                                <w:sz w:val="18"/>
                              </w:rPr>
                              <w:t>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SFN </w:t>
                            </w:r>
                            <w:r w:rsidRPr="00A9351C">
                              <w:rPr>
                                <w:sz w:val="18"/>
                              </w:rPr>
                              <w:t>difference</w:t>
                            </w:r>
                            <w:r w:rsidRPr="00A9351C">
                              <w:rPr>
                                <w:rFonts w:hint="eastAsia"/>
                                <w:sz w:val="18"/>
                              </w:rPr>
                              <w:t xml:space="preserve"> between the PCell and the PSCell as an integer value according to TS 36.214 [48].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rFonts w:hint="eastAsia"/>
                                <w:sz w:val="18"/>
                              </w:rPr>
                              <w:t xml:space="preserve">Indicates the frame boundary </w:t>
                            </w:r>
                            <w:r w:rsidRPr="00A9351C">
                              <w:rPr>
                                <w:sz w:val="18"/>
                              </w:rPr>
                              <w:t>difference</w:t>
                            </w:r>
                            <w:r w:rsidRPr="00A9351C">
                              <w:rPr>
                                <w:rFonts w:hint="eastAsia"/>
                                <w:sz w:val="18"/>
                              </w:rPr>
                              <w:t xml:space="preserve"> between the PCell and the PSCell as an integer value according to TS 36.214 </w:t>
                            </w:r>
                            <w:r w:rsidRPr="00A9351C">
                              <w:rPr>
                                <w:sz w:val="18"/>
                              </w:rPr>
                              <w:t>[48].</w:t>
                            </w:r>
                          </w:p>
                        </w:tc>
                      </w:tr>
                      <w:tr w:rsidR="00D91D46" w:rsidRPr="00A9351C" w:rsidTr="00A455BA">
                        <w:trPr>
                          <w:cantSplit/>
                        </w:trPr>
                        <w:tc>
                          <w:tcPr>
                            <w:tcW w:w="9639" w:type="dxa"/>
                          </w:tcPr>
                          <w:p w:rsidR="00D91D46" w:rsidRPr="00A9351C" w:rsidRDefault="00D91D46" w:rsidP="000972BA">
                            <w:pPr>
                              <w:keepNext/>
                              <w:keepLines/>
                              <w:rPr>
                                <w:b/>
                                <w:i/>
                                <w:noProof/>
                                <w:sz w:val="18"/>
                              </w:rPr>
                            </w:pPr>
                            <w:r w:rsidRPr="00A9351C">
                              <w:rPr>
                                <w:rFonts w:hint="eastAsia"/>
                                <w:b/>
                                <w:i/>
                                <w:noProof/>
                                <w:sz w:val="18"/>
                              </w:rPr>
                              <w:t>subframeBoundaryOffset</w:t>
                            </w:r>
                            <w:r w:rsidRPr="00A9351C">
                              <w:rPr>
                                <w:b/>
                                <w:i/>
                                <w:noProof/>
                                <w:sz w:val="18"/>
                              </w:rPr>
                              <w:t>R</w:t>
                            </w:r>
                            <w:r w:rsidRPr="00A9351C">
                              <w:rPr>
                                <w:rFonts w:hint="eastAsia"/>
                                <w:b/>
                                <w:i/>
                                <w:noProof/>
                                <w:sz w:val="18"/>
                              </w:rPr>
                              <w:t>esult</w:t>
                            </w:r>
                          </w:p>
                          <w:p w:rsidR="00D91D46" w:rsidRPr="00A9351C" w:rsidRDefault="00D91D46" w:rsidP="000972BA">
                            <w:pPr>
                              <w:keepNext/>
                              <w:keepLines/>
                              <w:rPr>
                                <w:sz w:val="18"/>
                              </w:rPr>
                            </w:pPr>
                            <w:r w:rsidRPr="00A9351C">
                              <w:rPr>
                                <w:sz w:val="18"/>
                                <w:lang w:eastAsia="zh-CN"/>
                              </w:rPr>
                              <w:t xml:space="preserve">Indicates the subframe boundary difference between the PCell and the PSCell </w:t>
                            </w:r>
                            <w:r w:rsidRPr="00A9351C">
                              <w:rPr>
                                <w:rFonts w:hint="eastAsia"/>
                                <w:sz w:val="18"/>
                              </w:rPr>
                              <w:t xml:space="preserve">as an integer value </w:t>
                            </w:r>
                            <w:r w:rsidRPr="00A9351C">
                              <w:rPr>
                                <w:sz w:val="18"/>
                                <w:lang w:eastAsia="zh-CN"/>
                              </w:rPr>
                              <w:t>a</w:t>
                            </w:r>
                            <w:r w:rsidRPr="00A9351C">
                              <w:rPr>
                                <w:rFonts w:hint="eastAsia"/>
                                <w:sz w:val="18"/>
                              </w:rPr>
                              <w:t>ccording to</w:t>
                            </w:r>
                            <w:r w:rsidRPr="00A9351C">
                              <w:rPr>
                                <w:sz w:val="18"/>
                                <w:lang w:eastAsia="zh-CN"/>
                              </w:rPr>
                              <w:t xml:space="preserve"> the mapping table in TS 36.133 [16].</w:t>
                            </w:r>
                          </w:p>
                        </w:tc>
                      </w:tr>
                    </w:tbl>
                    <w:p w:rsidR="00D91D46" w:rsidRDefault="00D91D46" w:rsidP="0087526D"/>
                  </w:txbxContent>
                </v:textbox>
                <w10:wrap type="topAndBottom" anchorx="margin"/>
              </v:shape>
            </w:pict>
          </mc:Fallback>
        </mc:AlternateContent>
      </w:r>
      <w:r w:rsidRPr="000972BA">
        <w:rPr>
          <w:sz w:val="22"/>
        </w:rPr>
        <w:t xml:space="preserve">The message definition for the </w:t>
      </w:r>
      <w:r>
        <w:rPr>
          <w:sz w:val="22"/>
        </w:rPr>
        <w:t xml:space="preserve">reporting of SSTD by the UE to the </w:t>
      </w:r>
      <w:proofErr w:type="spellStart"/>
      <w:r>
        <w:rPr>
          <w:sz w:val="22"/>
        </w:rPr>
        <w:t>MeNB</w:t>
      </w:r>
      <w:proofErr w:type="spellEnd"/>
      <w:r>
        <w:rPr>
          <w:sz w:val="22"/>
        </w:rPr>
        <w:t xml:space="preserve"> </w:t>
      </w:r>
      <w:r>
        <w:rPr>
          <w:sz w:val="22"/>
        </w:rPr>
        <w:fldChar w:fldCharType="begin"/>
      </w:r>
      <w:r>
        <w:rPr>
          <w:sz w:val="22"/>
        </w:rPr>
        <w:instrText xml:space="preserve"> REF _Ref485460126 \r \h  \* MERGEFORMAT </w:instrText>
      </w:r>
      <w:r>
        <w:rPr>
          <w:sz w:val="22"/>
        </w:rPr>
      </w:r>
      <w:r>
        <w:rPr>
          <w:sz w:val="22"/>
        </w:rPr>
        <w:fldChar w:fldCharType="separate"/>
      </w:r>
      <w:r w:rsidR="009B1F36">
        <w:rPr>
          <w:sz w:val="22"/>
        </w:rPr>
        <w:t>[4]</w:t>
      </w:r>
      <w:r>
        <w:rPr>
          <w:sz w:val="22"/>
        </w:rPr>
        <w:fldChar w:fldCharType="end"/>
      </w:r>
      <w:r>
        <w:rPr>
          <w:sz w:val="22"/>
        </w:rPr>
        <w:t xml:space="preserve"> is as follows, from where it is observed that the Subframe boundary offset is mapped onto an 8-bit number </w:t>
      </w:r>
      <w:proofErr w:type="gramStart"/>
      <w:r>
        <w:rPr>
          <w:sz w:val="22"/>
        </w:rPr>
        <w:t>in order to</w:t>
      </w:r>
      <w:proofErr w:type="gramEnd"/>
      <w:r>
        <w:rPr>
          <w:sz w:val="22"/>
        </w:rPr>
        <w:t xml:space="preserve"> reduce the message size.</w:t>
      </w:r>
    </w:p>
    <w:p w:rsidR="0087526D" w:rsidRDefault="0087526D" w:rsidP="0087526D">
      <w:pPr>
        <w:pStyle w:val="IvDInstructiontext"/>
        <w:jc w:val="both"/>
        <w:rPr>
          <w:i w:val="0"/>
          <w:color w:val="auto"/>
          <w:sz w:val="22"/>
          <w:szCs w:val="22"/>
        </w:rPr>
      </w:pPr>
    </w:p>
    <w:p w:rsidR="0087526D" w:rsidRPr="008F3B71" w:rsidRDefault="0087526D" w:rsidP="0087526D">
      <w:pPr>
        <w:pStyle w:val="IvDInstructiontext"/>
        <w:jc w:val="both"/>
        <w:rPr>
          <w:rFonts w:ascii="Times New Roman" w:hAnsi="Times New Roman"/>
          <w:i w:val="0"/>
          <w:color w:val="auto"/>
          <w:sz w:val="22"/>
          <w:szCs w:val="22"/>
        </w:rPr>
      </w:pPr>
      <w:r>
        <w:rPr>
          <w:rFonts w:ascii="Times New Roman" w:hAnsi="Times New Roman"/>
          <w:i w:val="0"/>
          <w:color w:val="auto"/>
          <w:sz w:val="22"/>
          <w:szCs w:val="22"/>
        </w:rPr>
        <w:t xml:space="preserve">The actual mapping of Subframe boundary offset onto an 8-bit number </w:t>
      </w:r>
      <w:r>
        <w:rPr>
          <w:rFonts w:ascii="Times New Roman" w:hAnsi="Times New Roman"/>
          <w:i w:val="0"/>
          <w:color w:val="auto"/>
          <w:sz w:val="22"/>
          <w:szCs w:val="22"/>
        </w:rPr>
        <w:fldChar w:fldCharType="begin"/>
      </w:r>
      <w:r>
        <w:rPr>
          <w:rFonts w:ascii="Times New Roman" w:hAnsi="Times New Roman"/>
          <w:i w:val="0"/>
          <w:color w:val="auto"/>
          <w:sz w:val="22"/>
          <w:szCs w:val="22"/>
        </w:rPr>
        <w:instrText xml:space="preserve"> REF _Ref485460518 \r \h </w:instrText>
      </w:r>
      <w:r>
        <w:rPr>
          <w:rFonts w:ascii="Times New Roman" w:hAnsi="Times New Roman"/>
          <w:i w:val="0"/>
          <w:color w:val="auto"/>
          <w:sz w:val="22"/>
          <w:szCs w:val="22"/>
        </w:rPr>
      </w:r>
      <w:r>
        <w:rPr>
          <w:rFonts w:ascii="Times New Roman" w:hAnsi="Times New Roman"/>
          <w:i w:val="0"/>
          <w:color w:val="auto"/>
          <w:sz w:val="22"/>
          <w:szCs w:val="22"/>
        </w:rPr>
        <w:fldChar w:fldCharType="separate"/>
      </w:r>
      <w:r w:rsidR="009B1F36">
        <w:rPr>
          <w:rFonts w:ascii="Times New Roman" w:hAnsi="Times New Roman"/>
          <w:i w:val="0"/>
          <w:color w:val="auto"/>
          <w:sz w:val="22"/>
          <w:szCs w:val="22"/>
        </w:rPr>
        <w:t>[2]</w:t>
      </w:r>
      <w:r>
        <w:rPr>
          <w:rFonts w:ascii="Times New Roman" w:hAnsi="Times New Roman"/>
          <w:i w:val="0"/>
          <w:color w:val="auto"/>
          <w:sz w:val="22"/>
          <w:szCs w:val="22"/>
        </w:rPr>
        <w:fldChar w:fldCharType="end"/>
      </w:r>
      <w:r>
        <w:rPr>
          <w:rFonts w:ascii="Times New Roman" w:hAnsi="Times New Roman"/>
          <w:i w:val="0"/>
          <w:color w:val="auto"/>
          <w:sz w:val="22"/>
          <w:szCs w:val="22"/>
        </w:rPr>
        <w:t xml:space="preserve"> is as follows, where it can be observed that the mapping has a good resolution around the timing offsets </w:t>
      </w:r>
      <w:r>
        <w:rPr>
          <w:rFonts w:ascii="Calibri" w:hAnsi="Calibri"/>
          <w:i w:val="0"/>
          <w:color w:val="auto"/>
          <w:sz w:val="22"/>
          <w:szCs w:val="22"/>
        </w:rPr>
        <w:t>±</w:t>
      </w:r>
      <w:r>
        <w:rPr>
          <w:rFonts w:ascii="Times New Roman" w:hAnsi="Times New Roman"/>
          <w:i w:val="0"/>
          <w:color w:val="auto"/>
          <w:sz w:val="22"/>
          <w:szCs w:val="22"/>
        </w:rPr>
        <w:t>33</w:t>
      </w:r>
      <w:r>
        <w:rPr>
          <w:rFonts w:ascii="Calibri" w:hAnsi="Calibri"/>
          <w:i w:val="0"/>
          <w:color w:val="auto"/>
          <w:sz w:val="22"/>
          <w:szCs w:val="22"/>
        </w:rPr>
        <w:t>μ</w:t>
      </w:r>
      <w:r>
        <w:rPr>
          <w:rFonts w:ascii="Times New Roman" w:hAnsi="Times New Roman"/>
          <w:i w:val="0"/>
          <w:color w:val="auto"/>
          <w:sz w:val="22"/>
          <w:szCs w:val="22"/>
        </w:rPr>
        <w:t>s, which represent the border between synchronous and asynchronous DC operation in LTE. The characteristics of the mapping function is illustrated in</w:t>
      </w:r>
      <w:r w:rsidR="00C900A2">
        <w:rPr>
          <w:rFonts w:ascii="Times New Roman" w:hAnsi="Times New Roman"/>
          <w:i w:val="0"/>
          <w:color w:val="auto"/>
          <w:sz w:val="22"/>
          <w:szCs w:val="22"/>
        </w:rPr>
        <w:t xml:space="preserve"> Figure 2, </w:t>
      </w:r>
      <w:r w:rsidR="008217A6">
        <w:rPr>
          <w:rFonts w:ascii="Times New Roman" w:hAnsi="Times New Roman"/>
          <w:i w:val="0"/>
          <w:color w:val="auto"/>
          <w:sz w:val="22"/>
          <w:szCs w:val="22"/>
        </w:rPr>
        <w:t xml:space="preserve">from which </w:t>
      </w:r>
      <w:r w:rsidR="008217A6" w:rsidRPr="0040533F">
        <w:rPr>
          <w:rFonts w:ascii="Times New Roman" w:hAnsi="Times New Roman"/>
          <w:i w:val="0"/>
          <w:color w:val="auto"/>
          <w:sz w:val="22"/>
          <w:szCs w:val="22"/>
        </w:rPr>
        <w:t>it is evident that the existing SSTD reporting structure is defined for identifying whether synchronous or asynchronous DC operation is supported based on scheduling units of subframe length.</w:t>
      </w:r>
    </w:p>
    <w:p w:rsidR="0087526D" w:rsidRPr="00CF461C" w:rsidRDefault="0087526D" w:rsidP="0087526D">
      <w:pPr>
        <w:pStyle w:val="TH"/>
      </w:pPr>
      <w:r w:rsidRPr="00CF461C">
        <w:lastRenderedPageBreak/>
        <w:t xml:space="preserve">Table </w:t>
      </w:r>
      <w:r>
        <w:rPr>
          <w:rFonts w:hint="eastAsia"/>
        </w:rPr>
        <w:t>9.1.20.2-1</w:t>
      </w:r>
      <w:r w:rsidRPr="00CF461C">
        <w:t xml:space="preserve">: </w:t>
      </w:r>
      <w:r>
        <w:rPr>
          <w:rFonts w:hint="eastAsia"/>
        </w:rPr>
        <w:t>S</w:t>
      </w:r>
      <w:r w:rsidRPr="00CF461C">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87526D" w:rsidRPr="001E3D58" w:rsidTr="00A455BA">
        <w:trPr>
          <w:cantSplit/>
        </w:trPr>
        <w:tc>
          <w:tcPr>
            <w:tcW w:w="3827" w:type="dxa"/>
          </w:tcPr>
          <w:p w:rsidR="0087526D" w:rsidRPr="001E3D58" w:rsidRDefault="0087526D" w:rsidP="00A455BA">
            <w:pPr>
              <w:pStyle w:val="TAH"/>
              <w:rPr>
                <w:rFonts w:cs="Arial"/>
                <w:lang w:eastAsia="ja-JP"/>
              </w:rPr>
            </w:pPr>
            <w:r w:rsidRPr="001E3D58">
              <w:rPr>
                <w:rFonts w:cs="v3.7.0"/>
                <w:lang w:eastAsia="ja-JP"/>
              </w:rPr>
              <w:t>Reported Value</w:t>
            </w:r>
          </w:p>
        </w:tc>
        <w:tc>
          <w:tcPr>
            <w:tcW w:w="2835" w:type="dxa"/>
          </w:tcPr>
          <w:p w:rsidR="0087526D" w:rsidRPr="001E3D58" w:rsidRDefault="0087526D" w:rsidP="00A455BA">
            <w:pPr>
              <w:pStyle w:val="TAH"/>
              <w:rPr>
                <w:rFonts w:cs="Arial"/>
                <w:lang w:eastAsia="ja-JP"/>
              </w:rPr>
            </w:pPr>
            <w:r w:rsidRPr="001E3D58">
              <w:rPr>
                <w:rFonts w:cs="v3.7.0"/>
                <w:lang w:eastAsia="ja-JP"/>
              </w:rPr>
              <w:t>Measured Quantity Value</w:t>
            </w:r>
          </w:p>
        </w:tc>
        <w:tc>
          <w:tcPr>
            <w:tcW w:w="1985" w:type="dxa"/>
          </w:tcPr>
          <w:p w:rsidR="0087526D" w:rsidRPr="001E3D58" w:rsidRDefault="0087526D" w:rsidP="00A455BA">
            <w:pPr>
              <w:pStyle w:val="TAH"/>
              <w:rPr>
                <w:rFonts w:cs="Arial"/>
                <w:lang w:eastAsia="ja-JP"/>
              </w:rPr>
            </w:pPr>
            <w:r w:rsidRPr="001E3D58">
              <w:rPr>
                <w:rFonts w:cs="v3.7.0"/>
                <w:lang w:eastAsia="ja-JP"/>
              </w:rPr>
              <w:t>Unit</w:t>
            </w:r>
          </w:p>
        </w:tc>
      </w:tr>
      <w:tr w:rsidR="0087526D" w:rsidRPr="001E3D58" w:rsidTr="00A455BA">
        <w:trPr>
          <w:cantSplit/>
        </w:trPr>
        <w:tc>
          <w:tcPr>
            <w:tcW w:w="3827" w:type="dxa"/>
          </w:tcPr>
          <w:p w:rsidR="0087526D" w:rsidRPr="001E3D58" w:rsidRDefault="0087526D" w:rsidP="00A455BA">
            <w:pPr>
              <w:pStyle w:val="TAC"/>
              <w:rPr>
                <w:rFonts w:cs="Arial"/>
                <w:lang w:eastAsia="zh-CN"/>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_00</w:t>
            </w:r>
          </w:p>
        </w:tc>
        <w:tc>
          <w:tcPr>
            <w:tcW w:w="2835" w:type="dxa"/>
          </w:tcPr>
          <w:p w:rsidR="0087526D" w:rsidRPr="001E3D58" w:rsidRDefault="0087526D" w:rsidP="00A455BA">
            <w:pPr>
              <w:pStyle w:val="TAC"/>
              <w:rPr>
                <w:rFonts w:cs="Arial"/>
                <w:lang w:eastAsia="zh-CN"/>
              </w:rPr>
            </w:pP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ja-JP"/>
              </w:rPr>
              <w:t xml:space="preserve"> </w:t>
            </w:r>
            <w:r w:rsidRPr="001E3D58">
              <w:rPr>
                <w:rFonts w:cs="Arial"/>
                <w:lang w:eastAsia="ja-JP"/>
              </w:rPr>
              <w:sym w:font="Symbol" w:char="F0A3"/>
            </w:r>
            <w:r w:rsidRPr="001E3D58">
              <w:rPr>
                <w:rFonts w:cs="Arial" w:hint="eastAsia"/>
                <w:lang w:eastAsia="ja-JP"/>
              </w:rPr>
              <w:t xml:space="preserve"> -1320</w:t>
            </w:r>
          </w:p>
        </w:tc>
        <w:tc>
          <w:tcPr>
            <w:tcW w:w="1985" w:type="dxa"/>
          </w:tcPr>
          <w:p w:rsidR="0087526D" w:rsidRPr="001E3D58" w:rsidRDefault="0087526D" w:rsidP="00A455BA">
            <w:pPr>
              <w:jc w:val="center"/>
            </w:pPr>
            <w:proofErr w:type="spellStart"/>
            <w:r w:rsidRPr="001E3D58">
              <w:t>T</w:t>
            </w:r>
            <w:r w:rsidRPr="001E3D58">
              <w:rPr>
                <w:szCs w:val="18"/>
                <w:vertAlign w:val="subscript"/>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_01</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-1320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-1310</w:t>
            </w:r>
          </w:p>
        </w:tc>
        <w:tc>
          <w:tcPr>
            <w:tcW w:w="1985" w:type="dxa"/>
          </w:tcPr>
          <w:p w:rsidR="0087526D" w:rsidRPr="001E3D58" w:rsidRDefault="0087526D" w:rsidP="00A455BA">
            <w:pPr>
              <w:jc w:val="center"/>
            </w:pPr>
            <w:proofErr w:type="spellStart"/>
            <w:r w:rsidRPr="001E3D58">
              <w:t>T</w:t>
            </w:r>
            <w:r w:rsidRPr="001E3D58">
              <w:rPr>
                <w:szCs w:val="18"/>
                <w:vertAlign w:val="subscript"/>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_02</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-1300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sym w:font="Symbol" w:char="F0BC"/>
            </w:r>
          </w:p>
        </w:tc>
        <w:tc>
          <w:tcPr>
            <w:tcW w:w="2835" w:type="dxa"/>
          </w:tcPr>
          <w:p w:rsidR="0087526D" w:rsidRPr="001E3D58" w:rsidRDefault="0087526D" w:rsidP="00A455BA">
            <w:pPr>
              <w:pStyle w:val="TAC"/>
              <w:rPr>
                <w:rFonts w:cs="Arial"/>
                <w:lang w:eastAsia="ja-JP"/>
              </w:rPr>
            </w:pPr>
            <w:r w:rsidRPr="001E3D58">
              <w:rPr>
                <w:rFonts w:cs="Arial"/>
                <w:lang w:eastAsia="ja-JP"/>
              </w:rPr>
              <w:sym w:font="Symbol" w:char="F0BC"/>
            </w:r>
          </w:p>
        </w:tc>
        <w:tc>
          <w:tcPr>
            <w:tcW w:w="1985" w:type="dxa"/>
          </w:tcPr>
          <w:p w:rsidR="0087526D" w:rsidRPr="001E3D58" w:rsidRDefault="0087526D" w:rsidP="00A455BA">
            <w:pPr>
              <w:pStyle w:val="TAC"/>
              <w:rPr>
                <w:rFonts w:cs="Arial"/>
                <w:lang w:eastAsia="ja-JP"/>
              </w:rPr>
            </w:pPr>
            <w:r w:rsidRPr="001E3D58">
              <w:rPr>
                <w:rFonts w:cs="Arial"/>
                <w:lang w:eastAsia="ja-JP"/>
              </w:rPr>
              <w:t>…</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_62</w:t>
            </w:r>
          </w:p>
        </w:tc>
        <w:tc>
          <w:tcPr>
            <w:tcW w:w="2835" w:type="dxa"/>
          </w:tcPr>
          <w:p w:rsidR="0087526D" w:rsidRPr="001E3D58" w:rsidRDefault="0087526D" w:rsidP="00A455BA">
            <w:pPr>
              <w:pStyle w:val="TAC"/>
              <w:rPr>
                <w:rFonts w:cs="Arial"/>
                <w:lang w:eastAsia="ja-JP"/>
              </w:rPr>
            </w:pPr>
            <w:r w:rsidRPr="001E3D58">
              <w:rPr>
                <w:rFonts w:cs="Arial" w:hint="eastAsia"/>
                <w:lang w:eastAsia="ja-JP"/>
              </w:rPr>
              <w:t>-710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-700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_63</w:t>
            </w:r>
          </w:p>
        </w:tc>
        <w:tc>
          <w:tcPr>
            <w:tcW w:w="2835" w:type="dxa"/>
          </w:tcPr>
          <w:p w:rsidR="0087526D" w:rsidRPr="001E3D58" w:rsidRDefault="0087526D" w:rsidP="00A455BA">
            <w:pPr>
              <w:pStyle w:val="TAC"/>
              <w:rPr>
                <w:rFonts w:cs="Arial"/>
                <w:lang w:eastAsia="ja-JP"/>
              </w:rPr>
            </w:pPr>
            <w:r w:rsidRPr="001E3D58">
              <w:rPr>
                <w:rFonts w:cs="Arial" w:hint="eastAsia"/>
                <w:lang w:eastAsia="ja-JP"/>
              </w:rPr>
              <w:t>-700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_6</w:t>
            </w:r>
            <w:r w:rsidRPr="001E3D58">
              <w:rPr>
                <w:rFonts w:ascii="Times New Roman" w:hAnsi="Times New Roman" w:cs="Arial" w:hint="eastAsia"/>
                <w:lang w:eastAsia="ja-JP"/>
              </w:rPr>
              <w:t>4</w:t>
            </w:r>
          </w:p>
        </w:tc>
        <w:tc>
          <w:tcPr>
            <w:tcW w:w="2835" w:type="dxa"/>
          </w:tcPr>
          <w:p w:rsidR="0087526D" w:rsidRPr="001E3D58" w:rsidRDefault="0087526D" w:rsidP="00A455BA">
            <w:pPr>
              <w:pStyle w:val="TAC"/>
              <w:rPr>
                <w:rFonts w:cs="Arial"/>
                <w:lang w:eastAsia="ja-JP"/>
              </w:rPr>
            </w:pPr>
            <w:r w:rsidRPr="001E3D58">
              <w:rPr>
                <w:rFonts w:cs="Arial" w:hint="eastAsia"/>
                <w:lang w:eastAsia="ja-JP"/>
              </w:rPr>
              <w:t>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700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_65</w:t>
            </w:r>
          </w:p>
        </w:tc>
        <w:tc>
          <w:tcPr>
            <w:tcW w:w="2835" w:type="dxa"/>
          </w:tcPr>
          <w:p w:rsidR="0087526D" w:rsidRPr="001E3D58" w:rsidRDefault="0087526D" w:rsidP="00A455BA">
            <w:pPr>
              <w:pStyle w:val="TAC"/>
              <w:rPr>
                <w:rFonts w:cs="Arial"/>
                <w:lang w:eastAsia="ja-JP"/>
              </w:rPr>
            </w:pPr>
            <w:r w:rsidRPr="001E3D58">
              <w:rPr>
                <w:rFonts w:cs="Arial" w:hint="eastAsia"/>
                <w:lang w:eastAsia="ja-JP"/>
              </w:rPr>
              <w:t>700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710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zh-CN"/>
              </w:rPr>
            </w:pPr>
            <w:r w:rsidRPr="001E3D58">
              <w:rPr>
                <w:rFonts w:cs="Arial"/>
                <w:lang w:eastAsia="ja-JP"/>
              </w:rPr>
              <w:t>…</w:t>
            </w:r>
          </w:p>
        </w:tc>
        <w:tc>
          <w:tcPr>
            <w:tcW w:w="2835" w:type="dxa"/>
          </w:tcPr>
          <w:p w:rsidR="0087526D" w:rsidRPr="001E3D58" w:rsidRDefault="0087526D" w:rsidP="00A455BA">
            <w:pPr>
              <w:pStyle w:val="TAC"/>
              <w:rPr>
                <w:rFonts w:cs="Arial"/>
                <w:lang w:eastAsia="ja-JP"/>
              </w:rPr>
            </w:pPr>
            <w:r w:rsidRPr="001E3D58">
              <w:rPr>
                <w:rFonts w:cs="Arial"/>
                <w:lang w:eastAsia="ja-JP"/>
              </w:rPr>
              <w:t>…</w:t>
            </w:r>
          </w:p>
        </w:tc>
        <w:tc>
          <w:tcPr>
            <w:tcW w:w="1985" w:type="dxa"/>
          </w:tcPr>
          <w:p w:rsidR="0087526D" w:rsidRPr="001E3D58" w:rsidRDefault="0087526D" w:rsidP="00A455BA">
            <w:pPr>
              <w:pStyle w:val="TAC"/>
              <w:rPr>
                <w:rFonts w:cs="Arial"/>
                <w:lang w:eastAsia="zh-CN"/>
              </w:rPr>
            </w:pPr>
            <w:r w:rsidRPr="001E3D58">
              <w:rPr>
                <w:rFonts w:cs="Arial"/>
                <w:lang w:eastAsia="ja-JP"/>
              </w:rPr>
              <w:t>…</w:t>
            </w:r>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zh-CN"/>
              </w:rPr>
              <w:t>_</w:t>
            </w:r>
            <w:r w:rsidRPr="001E3D58">
              <w:rPr>
                <w:rFonts w:ascii="Times New Roman" w:hAnsi="Times New Roman" w:cs="Arial" w:hint="eastAsia"/>
                <w:lang w:eastAsia="ja-JP"/>
              </w:rPr>
              <w:t>125</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1300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1310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_126</w:t>
            </w:r>
          </w:p>
        </w:tc>
        <w:tc>
          <w:tcPr>
            <w:tcW w:w="2835" w:type="dxa"/>
          </w:tcPr>
          <w:p w:rsidR="0087526D" w:rsidRPr="001E3D58" w:rsidRDefault="0087526D" w:rsidP="00A455BA">
            <w:pPr>
              <w:pStyle w:val="TAC"/>
              <w:rPr>
                <w:rFonts w:cs="Arial"/>
                <w:lang w:eastAsia="ja-JP"/>
              </w:rPr>
            </w:pPr>
            <w:r w:rsidRPr="001E3D58">
              <w:rPr>
                <w:rFonts w:cs="Arial" w:hint="eastAsia"/>
                <w:lang w:eastAsia="ja-JP"/>
              </w:rPr>
              <w:t>1310</w:t>
            </w:r>
            <w:r w:rsidRPr="001E3D58">
              <w:rPr>
                <w:rFonts w:cs="Arial"/>
                <w:lang w:eastAsia="zh-CN"/>
              </w:rPr>
              <w:t xml:space="preserve"> &lt;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r w:rsidRPr="001E3D58">
              <w:rPr>
                <w:rFonts w:cs="Arial"/>
                <w:lang w:eastAsia="zh-CN"/>
              </w:rPr>
              <w:sym w:font="Symbol" w:char="F0A3"/>
            </w:r>
            <w:r w:rsidRPr="001E3D58">
              <w:rPr>
                <w:rFonts w:cs="Arial"/>
                <w:lang w:eastAsia="zh-CN"/>
              </w:rPr>
              <w:t xml:space="preserve"> </w:t>
            </w:r>
            <w:r w:rsidRPr="001E3D58">
              <w:rPr>
                <w:rFonts w:cs="Arial" w:hint="eastAsia"/>
                <w:lang w:eastAsia="ja-JP"/>
              </w:rPr>
              <w:t>1320</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r w:rsidR="0087526D" w:rsidRPr="001E3D58" w:rsidTr="00A455BA">
        <w:trPr>
          <w:cantSplit/>
        </w:trPr>
        <w:tc>
          <w:tcPr>
            <w:tcW w:w="3827" w:type="dxa"/>
          </w:tcPr>
          <w:p w:rsidR="0087526D" w:rsidRPr="001E3D58" w:rsidRDefault="0087526D" w:rsidP="00A455BA">
            <w:pPr>
              <w:pStyle w:val="TAC"/>
              <w:rPr>
                <w:rFonts w:cs="Arial"/>
                <w:lang w:eastAsia="ja-JP"/>
              </w:rPr>
            </w:pPr>
            <w:r w:rsidRPr="001E3D58">
              <w:rPr>
                <w:rFonts w:cs="Arial"/>
                <w:lang w:eastAsia="ja-JP"/>
              </w:rPr>
              <w:t>S</w:t>
            </w:r>
            <w:r w:rsidRPr="001E3D58">
              <w:rPr>
                <w:rFonts w:cs="Arial" w:hint="eastAsia"/>
                <w:lang w:eastAsia="ja-JP"/>
              </w:rPr>
              <w:t>UBFRAME_BOUNDARY_OFFSET</w:t>
            </w:r>
            <w:r w:rsidRPr="001E3D58">
              <w:rPr>
                <w:rFonts w:ascii="Times New Roman" w:hAnsi="Times New Roman" w:cs="Arial" w:hint="eastAsia"/>
                <w:lang w:eastAsia="ja-JP"/>
              </w:rPr>
              <w:t>_127</w:t>
            </w:r>
          </w:p>
        </w:tc>
        <w:tc>
          <w:tcPr>
            <w:tcW w:w="2835" w:type="dxa"/>
          </w:tcPr>
          <w:p w:rsidR="0087526D" w:rsidRPr="001E3D58" w:rsidRDefault="0087526D" w:rsidP="00A455BA">
            <w:pPr>
              <w:pStyle w:val="TAC"/>
              <w:rPr>
                <w:rFonts w:cs="Arial"/>
                <w:lang w:eastAsia="ja-JP"/>
              </w:rPr>
            </w:pPr>
            <w:r w:rsidRPr="001E3D58">
              <w:rPr>
                <w:rFonts w:cs="Arial" w:hint="eastAsia"/>
                <w:lang w:eastAsia="ja-JP"/>
              </w:rPr>
              <w:t xml:space="preserve">1320 </w:t>
            </w:r>
            <w:r w:rsidRPr="001E3D58">
              <w:rPr>
                <w:rFonts w:cs="Arial"/>
                <w:lang w:eastAsia="zh-CN"/>
              </w:rPr>
              <w:t xml:space="preserve">&lt; </w:t>
            </w:r>
            <w:r w:rsidRPr="001E3D58">
              <w:rPr>
                <w:rFonts w:ascii="Times New Roman" w:hAnsi="Times New Roman" w:cs="Arial"/>
                <w:lang w:eastAsia="ja-JP"/>
              </w:rPr>
              <w:sym w:font="Symbol" w:char="F044"/>
            </w:r>
            <w:r w:rsidRPr="001E3D58">
              <w:rPr>
                <w:rFonts w:ascii="Times New Roman" w:hAnsi="Times New Roman" w:cs="Arial"/>
                <w:lang w:eastAsia="ja-JP"/>
              </w:rPr>
              <w:t>Z</w:t>
            </w:r>
            <w:r w:rsidRPr="001E3D58">
              <w:rPr>
                <w:rFonts w:cs="Arial"/>
                <w:lang w:eastAsia="zh-CN"/>
              </w:rPr>
              <w:t xml:space="preserve"> </w:t>
            </w:r>
          </w:p>
        </w:tc>
        <w:tc>
          <w:tcPr>
            <w:tcW w:w="1985" w:type="dxa"/>
          </w:tcPr>
          <w:p w:rsidR="0087526D" w:rsidRPr="001E3D58" w:rsidRDefault="0087526D" w:rsidP="00A455BA">
            <w:pPr>
              <w:pStyle w:val="TAC"/>
              <w:rPr>
                <w:rFonts w:cs="Arial"/>
                <w:lang w:eastAsia="ja-JP"/>
              </w:rPr>
            </w:pPr>
            <w:proofErr w:type="spellStart"/>
            <w:r w:rsidRPr="001E3D58">
              <w:rPr>
                <w:rFonts w:cs="Arial"/>
                <w:lang w:eastAsia="ja-JP"/>
              </w:rPr>
              <w:t>T</w:t>
            </w:r>
            <w:r w:rsidRPr="001E3D58">
              <w:rPr>
                <w:rFonts w:cs="Arial"/>
                <w:vertAlign w:val="subscript"/>
                <w:lang w:eastAsia="ja-JP"/>
              </w:rPr>
              <w:t>s</w:t>
            </w:r>
            <w:proofErr w:type="spellEnd"/>
          </w:p>
        </w:tc>
      </w:tr>
    </w:tbl>
    <w:p w:rsidR="0087526D" w:rsidRDefault="0087526D" w:rsidP="0087526D">
      <w:pPr>
        <w:jc w:val="both"/>
        <w:rPr>
          <w:sz w:val="22"/>
        </w:rPr>
      </w:pPr>
    </w:p>
    <w:p w:rsidR="0087526D" w:rsidRDefault="0087526D" w:rsidP="0087526D">
      <w:pPr>
        <w:keepNext/>
        <w:jc w:val="center"/>
      </w:pPr>
      <w:r w:rsidRPr="008F3B71">
        <w:rPr>
          <w:noProof/>
          <w:sz w:val="22"/>
          <w:lang w:val="en-US"/>
        </w:rPr>
        <w:drawing>
          <wp:inline distT="0" distB="0" distL="0" distR="0" wp14:anchorId="7BF45736" wp14:editId="67C2B750">
            <wp:extent cx="4666891" cy="259521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83462" cy="2604425"/>
                    </a:xfrm>
                    <a:prstGeom prst="rect">
                      <a:avLst/>
                    </a:prstGeom>
                  </pic:spPr>
                </pic:pic>
              </a:graphicData>
            </a:graphic>
          </wp:inline>
        </w:drawing>
      </w:r>
    </w:p>
    <w:p w:rsidR="0087526D" w:rsidRDefault="0087526D" w:rsidP="0040533F">
      <w:pPr>
        <w:pStyle w:val="Caption"/>
        <w:ind w:left="432"/>
        <w:jc w:val="both"/>
      </w:pPr>
    </w:p>
    <w:p w:rsidR="0076637B" w:rsidRPr="00F77A39" w:rsidRDefault="00C900A2" w:rsidP="0087526D">
      <w:pPr>
        <w:rPr>
          <w:sz w:val="22"/>
          <w:lang w:val="en-US" w:eastAsia="ja-JP"/>
        </w:rPr>
      </w:pPr>
      <w:r w:rsidRPr="0040533F">
        <w:rPr>
          <w:b/>
          <w:sz w:val="22"/>
          <w:lang w:val="en-US"/>
        </w:rPr>
        <w:t>Figure 2:</w:t>
      </w:r>
      <w:r>
        <w:rPr>
          <w:sz w:val="22"/>
          <w:lang w:val="en-US"/>
        </w:rPr>
        <w:t xml:space="preserve"> </w:t>
      </w:r>
      <w:r w:rsidR="0076637B" w:rsidRPr="008F3B71">
        <w:rPr>
          <w:sz w:val="22"/>
          <w:lang w:val="en-US"/>
        </w:rPr>
        <w:t xml:space="preserve">Subframe boundary offset </w:t>
      </w:r>
      <w:r w:rsidR="0076637B">
        <w:rPr>
          <w:sz w:val="22"/>
          <w:lang w:val="en-US"/>
        </w:rPr>
        <w:t xml:space="preserve">mapping function characteristics </w:t>
      </w:r>
      <w:r w:rsidR="0076637B" w:rsidRPr="008F3B71">
        <w:rPr>
          <w:sz w:val="22"/>
          <w:lang w:val="en-US"/>
        </w:rPr>
        <w:t>for SSTD reporting in LTE</w:t>
      </w:r>
    </w:p>
    <w:p w:rsidR="00360F96" w:rsidRPr="00360F96" w:rsidRDefault="00360F96" w:rsidP="00360F96">
      <w:pPr>
        <w:pStyle w:val="Heading2"/>
        <w:rPr>
          <w:lang w:val="en-CA"/>
        </w:rPr>
      </w:pPr>
      <w:r>
        <w:rPr>
          <w:lang w:val="en-CA"/>
        </w:rPr>
        <w:t>Comparison between LTE and NR</w:t>
      </w:r>
    </w:p>
    <w:p w:rsidR="00C85AB8" w:rsidRDefault="00C85AB8" w:rsidP="00E059FC">
      <w:pPr>
        <w:jc w:val="both"/>
        <w:rPr>
          <w:sz w:val="22"/>
        </w:rPr>
      </w:pPr>
      <w:r>
        <w:rPr>
          <w:sz w:val="22"/>
        </w:rPr>
        <w:t>The radio frame and subframe lengths in NR are 10ms and 1ms, respectively, which is same as in LTE. However, the basic scheduling unit in NR is the slot, where the number of slots in a subframe is depending on the numerology used in the serving cell. This differs from LTE where the basic scheduling unit is the subframe.</w:t>
      </w:r>
    </w:p>
    <w:p w:rsidR="00436F2B" w:rsidRDefault="00EB3954" w:rsidP="00E059FC">
      <w:pPr>
        <w:jc w:val="both"/>
        <w:rPr>
          <w:sz w:val="22"/>
        </w:rPr>
      </w:pPr>
      <w:r>
        <w:rPr>
          <w:sz w:val="22"/>
        </w:rPr>
        <w:t xml:space="preserve">NR is to support up to 480kHz subcarrier </w:t>
      </w:r>
      <w:r w:rsidR="00A456C6">
        <w:rPr>
          <w:sz w:val="22"/>
        </w:rPr>
        <w:t>spacing</w:t>
      </w:r>
      <w:r w:rsidR="00436F2B">
        <w:rPr>
          <w:sz w:val="22"/>
        </w:rPr>
        <w:t>, with supported configurations 2</w:t>
      </w:r>
      <w:r w:rsidR="003057D1">
        <w:rPr>
          <w:sz w:val="22"/>
          <w:vertAlign w:val="superscript"/>
        </w:rPr>
        <w:t>K</w:t>
      </w:r>
      <w:r w:rsidR="00436F2B">
        <w:rPr>
          <w:rFonts w:ascii="Arial" w:hAnsi="Arial" w:cs="Arial"/>
          <w:sz w:val="22"/>
        </w:rPr>
        <w:t>x</w:t>
      </w:r>
      <w:r w:rsidR="003057D1">
        <w:rPr>
          <w:sz w:val="22"/>
        </w:rPr>
        <w:t>15kHz K</w:t>
      </w:r>
      <w:r w:rsidR="00436F2B">
        <w:rPr>
          <w:sz w:val="22"/>
        </w:rPr>
        <w:t xml:space="preserve">=1, …, 5. For subcarrier spacing above 60kHz a slot is defined as 14 OFDM symbols (normal CP), whereas below 60kHz a slot may alternatively be defined as 7 OFDM symbols. This leads to that the </w:t>
      </w:r>
      <w:r w:rsidR="001507E5">
        <w:rPr>
          <w:sz w:val="22"/>
        </w:rPr>
        <w:t xml:space="preserve">number of </w:t>
      </w:r>
      <w:r w:rsidR="00436F2B">
        <w:rPr>
          <w:sz w:val="22"/>
        </w:rPr>
        <w:t>basic scheduling units per subframe depend on subcarrier spacing and slot configuration, as illustrated in</w:t>
      </w:r>
      <w:r w:rsidR="00C900A2">
        <w:rPr>
          <w:sz w:val="22"/>
        </w:rPr>
        <w:t xml:space="preserve"> Figure 3</w:t>
      </w:r>
      <w:r w:rsidR="00436F2B">
        <w:rPr>
          <w:sz w:val="22"/>
        </w:rPr>
        <w:t>.</w:t>
      </w:r>
    </w:p>
    <w:p w:rsidR="00436F2B" w:rsidRDefault="00436F2B" w:rsidP="00E059FC">
      <w:pPr>
        <w:jc w:val="both"/>
        <w:rPr>
          <w:sz w:val="22"/>
        </w:rPr>
      </w:pPr>
    </w:p>
    <w:bookmarkStart w:id="3" w:name="_Hlk485120982"/>
    <w:p w:rsidR="00EB3954" w:rsidRDefault="00EB3954" w:rsidP="00EB3954">
      <w:pPr>
        <w:keepNext/>
        <w:jc w:val="both"/>
      </w:pPr>
      <w:r>
        <w:object w:dxaOrig="11535" w:dyaOrig="7080">
          <v:shape id="_x0000_i1026" type="#_x0000_t75" style="width:482.75pt;height:297pt" o:ole="">
            <v:imagedata r:id="rId12" o:title=""/>
          </v:shape>
          <o:OLEObject Type="Embed" ProgID="Visio.Drawing.15" ShapeID="_x0000_i1026" DrawAspect="Content" ObjectID="_1568487234" r:id="rId13"/>
        </w:object>
      </w:r>
      <w:bookmarkEnd w:id="3"/>
    </w:p>
    <w:p w:rsidR="00C85AB8" w:rsidRPr="0040533F" w:rsidRDefault="00C900A2" w:rsidP="0040533F">
      <w:pPr>
        <w:pStyle w:val="Caption"/>
        <w:jc w:val="both"/>
        <w:rPr>
          <w:b w:val="0"/>
          <w:sz w:val="28"/>
          <w:lang w:val="en-US"/>
        </w:rPr>
      </w:pPr>
      <w:bookmarkStart w:id="4" w:name="_Ref485458373"/>
      <w:r>
        <w:rPr>
          <w:sz w:val="22"/>
          <w:lang w:val="en-GB"/>
        </w:rPr>
        <w:t xml:space="preserve">Figure 3: </w:t>
      </w:r>
      <w:bookmarkEnd w:id="4"/>
      <w:r w:rsidR="00EB3954" w:rsidRPr="0040533F">
        <w:rPr>
          <w:b w:val="0"/>
          <w:sz w:val="22"/>
          <w:lang w:val="en-US"/>
        </w:rPr>
        <w:t xml:space="preserve">Illustration of scheduling units for LTE and different numerologies and </w:t>
      </w:r>
      <w:r w:rsidR="003E3058" w:rsidRPr="0040533F">
        <w:rPr>
          <w:b w:val="0"/>
          <w:sz w:val="22"/>
          <w:lang w:val="en-US"/>
        </w:rPr>
        <w:t>NR configurations.</w:t>
      </w:r>
    </w:p>
    <w:p w:rsidR="00C85AB8" w:rsidRDefault="00C85AB8" w:rsidP="00E059FC">
      <w:pPr>
        <w:jc w:val="both"/>
        <w:rPr>
          <w:sz w:val="22"/>
        </w:rPr>
      </w:pPr>
      <w:r>
        <w:rPr>
          <w:sz w:val="22"/>
        </w:rPr>
        <w:t xml:space="preserve">  </w:t>
      </w:r>
    </w:p>
    <w:p w:rsidR="00360F96" w:rsidRPr="00360F96" w:rsidRDefault="00360F96" w:rsidP="00360F96">
      <w:pPr>
        <w:jc w:val="both"/>
        <w:rPr>
          <w:sz w:val="22"/>
        </w:rPr>
      </w:pPr>
      <w:r>
        <w:rPr>
          <w:sz w:val="22"/>
        </w:rPr>
        <w:t>Like in LTE, SFN is deduced from the physical broadcast channel, NR-PBCH. In LTE, a hyper-frame of 1024 radio frames is used, i.e., the SFN counter wraps around after reaching the value 2</w:t>
      </w:r>
      <w:r>
        <w:rPr>
          <w:sz w:val="22"/>
          <w:vertAlign w:val="superscript"/>
        </w:rPr>
        <w:t>10</w:t>
      </w:r>
      <w:r>
        <w:rPr>
          <w:sz w:val="22"/>
        </w:rPr>
        <w:t>-1 (although only the 8 MSBs are explicit). The corresponding hyper-frame length has not yet been determined for NR. If other than 1024, it will not be possible to describe the SFN relation between a LTE PCell and a NR PSCell unambiguously. Particularly, if NR would use say 4096, there would be four LTE hyper-frames per NR hyper-frame.</w:t>
      </w:r>
      <w:r w:rsidR="00B51F1C">
        <w:rPr>
          <w:sz w:val="22"/>
        </w:rPr>
        <w:t xml:space="preserve"> However, rudimentary exchange of timing information between the LTE </w:t>
      </w:r>
      <w:proofErr w:type="spellStart"/>
      <w:r w:rsidR="00B51F1C">
        <w:rPr>
          <w:sz w:val="22"/>
        </w:rPr>
        <w:t>MeNB</w:t>
      </w:r>
      <w:proofErr w:type="spellEnd"/>
      <w:r w:rsidR="00B51F1C">
        <w:rPr>
          <w:sz w:val="22"/>
        </w:rPr>
        <w:t xml:space="preserve"> and NR SeNB can resolve the ambiguity, if needed.</w:t>
      </w:r>
    </w:p>
    <w:p w:rsidR="00EA2818" w:rsidRDefault="006B3DCA" w:rsidP="00EA2818">
      <w:pPr>
        <w:pStyle w:val="Heading1"/>
        <w:rPr>
          <w:lang w:val="en-CA"/>
        </w:rPr>
      </w:pPr>
      <w:r>
        <w:rPr>
          <w:lang w:val="en-CA"/>
        </w:rPr>
        <w:t>Proposal for LTE-NR DC interworking</w:t>
      </w:r>
    </w:p>
    <w:p w:rsidR="006B3DCA" w:rsidRPr="00D828F6" w:rsidRDefault="00D828F6" w:rsidP="000922B9">
      <w:pPr>
        <w:jc w:val="both"/>
        <w:rPr>
          <w:sz w:val="22"/>
          <w:szCs w:val="22"/>
          <w:lang w:val="en-CA"/>
        </w:rPr>
      </w:pPr>
      <w:r w:rsidRPr="00D828F6">
        <w:rPr>
          <w:sz w:val="22"/>
          <w:szCs w:val="22"/>
          <w:lang w:val="en-CA"/>
        </w:rPr>
        <w:t xml:space="preserve">As illustrated in </w:t>
      </w:r>
      <w:r w:rsidR="00875E87">
        <w:rPr>
          <w:sz w:val="22"/>
          <w:szCs w:val="22"/>
          <w:lang w:val="en-CA"/>
        </w:rPr>
        <w:t xml:space="preserve">Figure 4 </w:t>
      </w:r>
      <w:r>
        <w:rPr>
          <w:sz w:val="22"/>
          <w:szCs w:val="22"/>
          <w:lang w:val="en-CA"/>
        </w:rPr>
        <w:t>below, for different number of scheduling units per subframe in PCell and PSCell, synchronous DC operation can be supported at more than when aligned at the subframe border. Particularly, when the LTE subframe is aligned with a NR slot border, within some tolerance yet to be determined, synchronous operation can be supported.</w:t>
      </w:r>
    </w:p>
    <w:p w:rsidR="00C83842" w:rsidRPr="00C033D1" w:rsidRDefault="00C83842" w:rsidP="006B3DCA">
      <w:pPr>
        <w:rPr>
          <w:sz w:val="22"/>
          <w:lang w:val="en-CA"/>
        </w:rPr>
      </w:pPr>
    </w:p>
    <w:p w:rsidR="00C900A2" w:rsidRDefault="00C83842" w:rsidP="009E6FFB">
      <w:pPr>
        <w:keepNext/>
        <w:ind w:left="1136"/>
      </w:pPr>
      <w:r>
        <w:object w:dxaOrig="6525" w:dyaOrig="2100">
          <v:shape id="_x0000_i1027" type="#_x0000_t75" style="width:326.25pt;height:105pt" o:ole="">
            <v:imagedata r:id="rId14" o:title=""/>
          </v:shape>
          <o:OLEObject Type="Embed" ProgID="Visio.Drawing.15" ShapeID="_x0000_i1027" DrawAspect="Content" ObjectID="_1568487235" r:id="rId15"/>
        </w:object>
      </w:r>
    </w:p>
    <w:p w:rsidR="00C83842" w:rsidRPr="0040533F" w:rsidRDefault="00C900A2" w:rsidP="0040533F">
      <w:pPr>
        <w:keepNext/>
        <w:rPr>
          <w:sz w:val="22"/>
          <w:szCs w:val="22"/>
          <w:lang w:val="en-US"/>
        </w:rPr>
      </w:pPr>
      <w:bookmarkStart w:id="5" w:name="_Ref485462634"/>
      <w:r w:rsidRPr="0040533F">
        <w:rPr>
          <w:b/>
          <w:sz w:val="22"/>
          <w:szCs w:val="22"/>
          <w:lang w:val="en-US"/>
        </w:rPr>
        <w:t>Figure 4:</w:t>
      </w:r>
      <w:r w:rsidRPr="0040533F">
        <w:rPr>
          <w:sz w:val="22"/>
          <w:szCs w:val="22"/>
          <w:lang w:val="en-US"/>
        </w:rPr>
        <w:t xml:space="preserve"> </w:t>
      </w:r>
      <w:bookmarkEnd w:id="5"/>
      <w:r w:rsidR="00C83842" w:rsidRPr="0040533F">
        <w:rPr>
          <w:sz w:val="22"/>
          <w:szCs w:val="22"/>
          <w:lang w:val="en-US"/>
        </w:rPr>
        <w:t>Illustration of LTE-NR DC with four scheduling units per subframe in the NR cell. Synchronous operation is possible as long as time difference between scheduling units in LTE and NR is less than some threshold</w:t>
      </w:r>
    </w:p>
    <w:p w:rsidR="00D82B15" w:rsidRDefault="00D82B15" w:rsidP="00D82B15">
      <w:pPr>
        <w:rPr>
          <w:lang w:val="en-CA"/>
        </w:rPr>
      </w:pPr>
    </w:p>
    <w:p w:rsidR="00D828F6" w:rsidRDefault="00D828F6" w:rsidP="000922B9">
      <w:pPr>
        <w:jc w:val="both"/>
        <w:rPr>
          <w:sz w:val="22"/>
          <w:lang w:val="en-CA"/>
        </w:rPr>
      </w:pPr>
      <w:r>
        <w:rPr>
          <w:sz w:val="22"/>
          <w:lang w:val="en-CA"/>
        </w:rPr>
        <w:t xml:space="preserve">In order to </w:t>
      </w:r>
      <w:r w:rsidR="009D6249">
        <w:rPr>
          <w:sz w:val="22"/>
          <w:lang w:val="en-CA"/>
        </w:rPr>
        <w:t xml:space="preserve">allow this kind of scenario to be recognized by the </w:t>
      </w:r>
      <w:proofErr w:type="spellStart"/>
      <w:r w:rsidR="009D6249">
        <w:rPr>
          <w:sz w:val="22"/>
          <w:lang w:val="en-CA"/>
        </w:rPr>
        <w:t>MeNB</w:t>
      </w:r>
      <w:proofErr w:type="spellEnd"/>
      <w:r w:rsidR="009D6249">
        <w:rPr>
          <w:sz w:val="22"/>
          <w:lang w:val="en-CA"/>
        </w:rPr>
        <w:t xml:space="preserve">, it is necessary to extend the SSTD reporting. Particularly, the following </w:t>
      </w:r>
      <w:r w:rsidR="009D5E1B">
        <w:rPr>
          <w:sz w:val="22"/>
          <w:lang w:val="en-CA"/>
        </w:rPr>
        <w:t xml:space="preserve">SFN, subframe and TTI time difference (SSTTD) reporting </w:t>
      </w:r>
      <w:r w:rsidR="009D6249">
        <w:rPr>
          <w:sz w:val="22"/>
          <w:lang w:val="en-CA"/>
        </w:rPr>
        <w:t>may be considered:</w:t>
      </w:r>
    </w:p>
    <w:p w:rsidR="009D6249" w:rsidRPr="001C1D9F" w:rsidRDefault="009D6249" w:rsidP="001C1D9F">
      <w:pPr>
        <w:pStyle w:val="ListParagraph"/>
        <w:numPr>
          <w:ilvl w:val="0"/>
          <w:numId w:val="12"/>
        </w:numPr>
        <w:rPr>
          <w:sz w:val="22"/>
          <w:lang w:val="en-CA"/>
        </w:rPr>
      </w:pPr>
      <w:r w:rsidRPr="001C1D9F">
        <w:rPr>
          <w:sz w:val="22"/>
          <w:lang w:val="en-CA"/>
        </w:rPr>
        <w:t>SFN offset = (</w:t>
      </w:r>
      <w:proofErr w:type="spellStart"/>
      <w:r w:rsidRPr="001C1D9F">
        <w:rPr>
          <w:sz w:val="22"/>
          <w:lang w:val="en-CA"/>
        </w:rPr>
        <w:t>SFN</w:t>
      </w:r>
      <w:r w:rsidRPr="001C1D9F">
        <w:rPr>
          <w:sz w:val="22"/>
          <w:vertAlign w:val="subscript"/>
          <w:lang w:val="en-CA"/>
        </w:rPr>
        <w:t>PCell</w:t>
      </w:r>
      <w:r w:rsidRPr="001C1D9F">
        <w:rPr>
          <w:sz w:val="22"/>
          <w:lang w:val="en-CA"/>
        </w:rPr>
        <w:t>-SFN</w:t>
      </w:r>
      <w:r w:rsidRPr="001C1D9F">
        <w:rPr>
          <w:sz w:val="22"/>
          <w:vertAlign w:val="subscript"/>
          <w:lang w:val="en-CA"/>
        </w:rPr>
        <w:t>PSCell</w:t>
      </w:r>
      <w:proofErr w:type="spellEnd"/>
      <w:r w:rsidRPr="001C1D9F">
        <w:rPr>
          <w:sz w:val="22"/>
          <w:lang w:val="en-CA"/>
        </w:rPr>
        <w:t xml:space="preserve">) mod </w:t>
      </w:r>
      <w:proofErr w:type="spellStart"/>
      <w:r w:rsidRPr="001C1D9F">
        <w:rPr>
          <w:sz w:val="22"/>
          <w:lang w:val="en-CA"/>
        </w:rPr>
        <w:t>minHFL</w:t>
      </w:r>
      <w:proofErr w:type="spellEnd"/>
    </w:p>
    <w:p w:rsidR="009D6249" w:rsidRPr="001C1D9F" w:rsidRDefault="009D6249" w:rsidP="001C1D9F">
      <w:pPr>
        <w:pStyle w:val="ListParagraph"/>
        <w:numPr>
          <w:ilvl w:val="0"/>
          <w:numId w:val="12"/>
        </w:numPr>
        <w:rPr>
          <w:sz w:val="22"/>
          <w:lang w:val="en-CA"/>
        </w:rPr>
      </w:pPr>
      <w:r w:rsidRPr="001C1D9F">
        <w:rPr>
          <w:sz w:val="22"/>
          <w:lang w:val="en-CA"/>
        </w:rPr>
        <w:t>Frame boundary offset = floor(</w:t>
      </w:r>
      <w:r w:rsidR="00C623B8">
        <w:rPr>
          <w:sz w:val="22"/>
          <w:lang w:val="en-CA"/>
        </w:rPr>
        <w:t>(</w:t>
      </w:r>
      <w:proofErr w:type="spellStart"/>
      <w:r w:rsidRPr="001C1D9F">
        <w:rPr>
          <w:sz w:val="22"/>
          <w:lang w:val="en-CA"/>
        </w:rPr>
        <w:t>T</w:t>
      </w:r>
      <w:r w:rsidRPr="001C1D9F">
        <w:rPr>
          <w:sz w:val="22"/>
          <w:vertAlign w:val="subscript"/>
          <w:lang w:val="en-CA"/>
        </w:rPr>
        <w:t>FrameBoundary,PCell</w:t>
      </w:r>
      <w:proofErr w:type="spellEnd"/>
      <w:r w:rsidRPr="001C1D9F">
        <w:rPr>
          <w:sz w:val="22"/>
          <w:lang w:val="en-CA"/>
        </w:rPr>
        <w:t xml:space="preserve"> – </w:t>
      </w:r>
      <w:proofErr w:type="spellStart"/>
      <w:r w:rsidRPr="001C1D9F">
        <w:rPr>
          <w:sz w:val="22"/>
          <w:lang w:val="en-CA"/>
        </w:rPr>
        <w:t>T</w:t>
      </w:r>
      <w:r w:rsidRPr="001C1D9F">
        <w:rPr>
          <w:sz w:val="22"/>
          <w:vertAlign w:val="subscript"/>
          <w:lang w:val="en-CA"/>
        </w:rPr>
        <w:t>FrameBoundary,PSCell</w:t>
      </w:r>
      <w:proofErr w:type="spellEnd"/>
      <w:r w:rsidRPr="001C1D9F">
        <w:rPr>
          <w:sz w:val="22"/>
          <w:lang w:val="en-CA"/>
        </w:rPr>
        <w:t>)/1000</w:t>
      </w:r>
      <w:r w:rsidR="00C623B8">
        <w:rPr>
          <w:sz w:val="22"/>
          <w:lang w:val="en-CA"/>
        </w:rPr>
        <w:t>)</w:t>
      </w:r>
    </w:p>
    <w:p w:rsidR="009D6249" w:rsidRPr="001C1D9F" w:rsidRDefault="009D6249" w:rsidP="001C1D9F">
      <w:pPr>
        <w:pStyle w:val="ListParagraph"/>
        <w:numPr>
          <w:ilvl w:val="0"/>
          <w:numId w:val="12"/>
        </w:numPr>
        <w:rPr>
          <w:sz w:val="22"/>
          <w:lang w:val="en-CA"/>
        </w:rPr>
      </w:pPr>
      <w:r w:rsidRPr="001C1D9F">
        <w:rPr>
          <w:sz w:val="22"/>
          <w:lang w:val="en-CA"/>
        </w:rPr>
        <w:t>Sub</w:t>
      </w:r>
      <w:r w:rsidR="00C21285">
        <w:rPr>
          <w:sz w:val="22"/>
          <w:lang w:val="en-CA"/>
        </w:rPr>
        <w:t>frame boundary offset = floor( (</w:t>
      </w:r>
      <w:proofErr w:type="spellStart"/>
      <w:r w:rsidRPr="001C1D9F">
        <w:rPr>
          <w:sz w:val="22"/>
          <w:lang w:val="en-CA"/>
        </w:rPr>
        <w:t>T</w:t>
      </w:r>
      <w:r w:rsidRPr="001C1D9F">
        <w:rPr>
          <w:sz w:val="22"/>
          <w:vertAlign w:val="subscript"/>
          <w:lang w:val="en-CA"/>
        </w:rPr>
        <w:t>SubframeBoundary,PCell</w:t>
      </w:r>
      <w:proofErr w:type="spellEnd"/>
      <w:r w:rsidRPr="001C1D9F">
        <w:rPr>
          <w:sz w:val="22"/>
          <w:lang w:val="en-CA"/>
        </w:rPr>
        <w:t xml:space="preserve"> – </w:t>
      </w:r>
      <w:proofErr w:type="spellStart"/>
      <w:r w:rsidRPr="001C1D9F">
        <w:rPr>
          <w:sz w:val="22"/>
          <w:lang w:val="en-CA"/>
        </w:rPr>
        <w:t>T</w:t>
      </w:r>
      <w:r w:rsidRPr="001C1D9F">
        <w:rPr>
          <w:sz w:val="22"/>
          <w:vertAlign w:val="subscript"/>
          <w:lang w:val="en-CA"/>
        </w:rPr>
        <w:t>SubframeBoundary,PSCell</w:t>
      </w:r>
      <w:proofErr w:type="spellEnd"/>
      <w:r w:rsidRPr="001C1D9F">
        <w:rPr>
          <w:sz w:val="22"/>
          <w:lang w:val="en-CA"/>
        </w:rPr>
        <w:t>)/</w:t>
      </w:r>
      <w:proofErr w:type="spellStart"/>
      <w:r w:rsidRPr="001C1D9F">
        <w:rPr>
          <w:sz w:val="22"/>
          <w:lang w:val="en-CA"/>
        </w:rPr>
        <w:t>minTTI</w:t>
      </w:r>
      <w:proofErr w:type="spellEnd"/>
      <w:r w:rsidRPr="001C1D9F">
        <w:rPr>
          <w:sz w:val="22"/>
          <w:lang w:val="en-CA"/>
        </w:rPr>
        <w:t xml:space="preserve"> )</w:t>
      </w:r>
    </w:p>
    <w:p w:rsidR="009D6249" w:rsidRPr="001C1D9F" w:rsidRDefault="009D6249" w:rsidP="001C1D9F">
      <w:pPr>
        <w:pStyle w:val="ListParagraph"/>
        <w:numPr>
          <w:ilvl w:val="0"/>
          <w:numId w:val="12"/>
        </w:numPr>
        <w:rPr>
          <w:sz w:val="22"/>
          <w:lang w:val="en-CA"/>
        </w:rPr>
      </w:pPr>
      <w:r w:rsidRPr="001C1D9F">
        <w:rPr>
          <w:sz w:val="22"/>
          <w:lang w:val="en-CA"/>
        </w:rPr>
        <w:t xml:space="preserve">TTI boundary offset = </w:t>
      </w:r>
      <w:proofErr w:type="spellStart"/>
      <w:r w:rsidRPr="001C1D9F">
        <w:rPr>
          <w:sz w:val="22"/>
          <w:lang w:val="en-CA"/>
        </w:rPr>
        <w:t>T</w:t>
      </w:r>
      <w:r w:rsidRPr="001C1D9F">
        <w:rPr>
          <w:sz w:val="22"/>
          <w:vertAlign w:val="subscript"/>
          <w:lang w:val="en-CA"/>
        </w:rPr>
        <w:t>TTI,PCell</w:t>
      </w:r>
      <w:proofErr w:type="spellEnd"/>
      <w:r w:rsidRPr="001C1D9F">
        <w:rPr>
          <w:sz w:val="22"/>
          <w:lang w:val="en-CA"/>
        </w:rPr>
        <w:t xml:space="preserve"> – </w:t>
      </w:r>
      <w:proofErr w:type="spellStart"/>
      <w:r w:rsidRPr="001C1D9F">
        <w:rPr>
          <w:sz w:val="22"/>
          <w:lang w:val="en-CA"/>
        </w:rPr>
        <w:t>T</w:t>
      </w:r>
      <w:r w:rsidRPr="001C1D9F">
        <w:rPr>
          <w:sz w:val="22"/>
          <w:vertAlign w:val="subscript"/>
          <w:lang w:val="en-CA"/>
        </w:rPr>
        <w:t>TTI,PSCell</w:t>
      </w:r>
      <w:proofErr w:type="spellEnd"/>
    </w:p>
    <w:p w:rsidR="001C1D9F" w:rsidRDefault="001C1D9F" w:rsidP="000922B9">
      <w:pPr>
        <w:jc w:val="both"/>
        <w:rPr>
          <w:sz w:val="22"/>
          <w:lang w:val="en-CA"/>
        </w:rPr>
      </w:pPr>
      <w:r>
        <w:rPr>
          <w:sz w:val="22"/>
          <w:lang w:val="en-CA"/>
        </w:rPr>
        <w:t xml:space="preserve">where </w:t>
      </w:r>
      <w:proofErr w:type="spellStart"/>
      <w:r>
        <w:rPr>
          <w:sz w:val="22"/>
          <w:lang w:val="en-CA"/>
        </w:rPr>
        <w:t>minHFL</w:t>
      </w:r>
      <w:proofErr w:type="spellEnd"/>
      <w:r>
        <w:rPr>
          <w:sz w:val="22"/>
          <w:lang w:val="en-CA"/>
        </w:rPr>
        <w:t xml:space="preserve"> is the minimum hyper-frame length of LTE and NR, and </w:t>
      </w:r>
      <w:proofErr w:type="spellStart"/>
      <w:r>
        <w:rPr>
          <w:sz w:val="22"/>
          <w:lang w:val="en-CA"/>
        </w:rPr>
        <w:t>minTTI</w:t>
      </w:r>
      <w:proofErr w:type="spellEnd"/>
      <w:r>
        <w:rPr>
          <w:sz w:val="22"/>
          <w:lang w:val="en-CA"/>
        </w:rPr>
        <w:t xml:space="preserve"> is the minimum TTI length of PCell and PSCell</w:t>
      </w:r>
      <w:r w:rsidR="00741CCA">
        <w:rPr>
          <w:sz w:val="22"/>
          <w:lang w:val="en-CA"/>
        </w:rPr>
        <w:t xml:space="preserve">, in same time units as used for </w:t>
      </w:r>
      <w:proofErr w:type="spellStart"/>
      <w:r w:rsidR="00741CCA" w:rsidRPr="001C1D9F">
        <w:rPr>
          <w:sz w:val="22"/>
          <w:lang w:val="en-CA"/>
        </w:rPr>
        <w:t>T</w:t>
      </w:r>
      <w:r w:rsidR="00741CCA" w:rsidRPr="001C1D9F">
        <w:rPr>
          <w:sz w:val="22"/>
          <w:vertAlign w:val="subscript"/>
          <w:lang w:val="en-CA"/>
        </w:rPr>
        <w:t>SubframeBoundary,PCell</w:t>
      </w:r>
      <w:proofErr w:type="spellEnd"/>
      <w:r w:rsidR="00741CCA" w:rsidRPr="001C1D9F">
        <w:rPr>
          <w:sz w:val="22"/>
          <w:lang w:val="en-CA"/>
        </w:rPr>
        <w:t xml:space="preserve"> </w:t>
      </w:r>
      <w:r w:rsidR="00741CCA">
        <w:rPr>
          <w:sz w:val="22"/>
          <w:lang w:val="en-CA"/>
        </w:rPr>
        <w:t>and</w:t>
      </w:r>
      <w:r w:rsidR="00741CCA" w:rsidRPr="001C1D9F">
        <w:rPr>
          <w:sz w:val="22"/>
          <w:lang w:val="en-CA"/>
        </w:rPr>
        <w:t xml:space="preserve"> </w:t>
      </w:r>
      <w:proofErr w:type="spellStart"/>
      <w:r w:rsidR="00741CCA" w:rsidRPr="001C1D9F">
        <w:rPr>
          <w:sz w:val="22"/>
          <w:lang w:val="en-CA"/>
        </w:rPr>
        <w:t>T</w:t>
      </w:r>
      <w:r w:rsidR="00741CCA" w:rsidRPr="001C1D9F">
        <w:rPr>
          <w:sz w:val="22"/>
          <w:vertAlign w:val="subscript"/>
          <w:lang w:val="en-CA"/>
        </w:rPr>
        <w:t>SubframeBoundary,PSCell</w:t>
      </w:r>
      <w:proofErr w:type="spellEnd"/>
      <w:r>
        <w:rPr>
          <w:sz w:val="22"/>
          <w:lang w:val="en-CA"/>
        </w:rPr>
        <w:t>. The Subframe boundary offset thus is in the range [-N/2, N/2-1] NR TTIs</w:t>
      </w:r>
      <w:r w:rsidR="00FF769D">
        <w:rPr>
          <w:sz w:val="22"/>
          <w:lang w:val="en-CA"/>
        </w:rPr>
        <w:t>, where N is the number of NR TTIs per subframe</w:t>
      </w:r>
      <w:r>
        <w:rPr>
          <w:sz w:val="22"/>
          <w:lang w:val="en-CA"/>
        </w:rPr>
        <w:t xml:space="preserve">. </w:t>
      </w:r>
      <w:proofErr w:type="spellStart"/>
      <w:r>
        <w:rPr>
          <w:sz w:val="22"/>
          <w:lang w:val="en-CA"/>
        </w:rPr>
        <w:t>T</w:t>
      </w:r>
      <w:r w:rsidRPr="001C1D9F">
        <w:rPr>
          <w:sz w:val="22"/>
          <w:vertAlign w:val="subscript"/>
          <w:lang w:val="en-CA"/>
        </w:rPr>
        <w:t>TTI</w:t>
      </w:r>
      <w:r>
        <w:rPr>
          <w:sz w:val="22"/>
          <w:vertAlign w:val="subscript"/>
          <w:lang w:val="en-CA"/>
        </w:rPr>
        <w:t>,PCell</w:t>
      </w:r>
      <w:proofErr w:type="spellEnd"/>
      <w:r>
        <w:rPr>
          <w:sz w:val="22"/>
          <w:lang w:val="en-CA"/>
        </w:rPr>
        <w:t xml:space="preserve"> may be defined as the time when the UE receives the start of a TTI </w:t>
      </w:r>
      <w:r w:rsidR="00741CCA">
        <w:rPr>
          <w:sz w:val="22"/>
          <w:lang w:val="en-CA"/>
        </w:rPr>
        <w:t xml:space="preserve">(subframe) </w:t>
      </w:r>
      <w:r>
        <w:rPr>
          <w:sz w:val="22"/>
          <w:lang w:val="en-CA"/>
        </w:rPr>
        <w:t xml:space="preserve">from PCell, and </w:t>
      </w:r>
      <w:proofErr w:type="spellStart"/>
      <w:r>
        <w:rPr>
          <w:sz w:val="22"/>
          <w:lang w:val="en-CA"/>
        </w:rPr>
        <w:t>T</w:t>
      </w:r>
      <w:r w:rsidRPr="001C1D9F">
        <w:rPr>
          <w:sz w:val="22"/>
          <w:vertAlign w:val="subscript"/>
          <w:lang w:val="en-CA"/>
        </w:rPr>
        <w:t>TTI,PSCell</w:t>
      </w:r>
      <w:proofErr w:type="spellEnd"/>
      <w:r>
        <w:rPr>
          <w:sz w:val="22"/>
          <w:lang w:val="en-CA"/>
        </w:rPr>
        <w:t xml:space="preserve"> may be defined as the time when the UE receives the start of the TTI </w:t>
      </w:r>
      <w:r w:rsidR="00741CCA">
        <w:rPr>
          <w:sz w:val="22"/>
          <w:lang w:val="en-CA"/>
        </w:rPr>
        <w:t xml:space="preserve">(slot) </w:t>
      </w:r>
      <w:r>
        <w:rPr>
          <w:sz w:val="22"/>
          <w:lang w:val="en-CA"/>
        </w:rPr>
        <w:t>that is closest in time to the TTI received from the PCell. The time units for TTI boundary offset may for instance be der</w:t>
      </w:r>
      <w:r w:rsidR="00741CCA">
        <w:rPr>
          <w:sz w:val="22"/>
          <w:lang w:val="en-CA"/>
        </w:rPr>
        <w:t>ived from a basic time unit in</w:t>
      </w:r>
      <w:r>
        <w:rPr>
          <w:sz w:val="22"/>
          <w:lang w:val="en-CA"/>
        </w:rPr>
        <w:t xml:space="preserve"> NR</w:t>
      </w:r>
      <w:r w:rsidR="00E03349">
        <w:rPr>
          <w:sz w:val="22"/>
          <w:lang w:val="en-CA"/>
        </w:rPr>
        <w:t>.</w:t>
      </w:r>
      <w:r w:rsidR="00A448BE">
        <w:rPr>
          <w:sz w:val="22"/>
          <w:lang w:val="en-CA"/>
        </w:rPr>
        <w:t xml:space="preserve"> The TTI boundary</w:t>
      </w:r>
      <w:r w:rsidR="003057D1">
        <w:rPr>
          <w:sz w:val="22"/>
          <w:lang w:val="en-CA"/>
        </w:rPr>
        <w:t xml:space="preserve"> offset </w:t>
      </w:r>
      <w:r w:rsidR="003057D1">
        <w:rPr>
          <w:sz w:val="22"/>
        </w:rPr>
        <w:t xml:space="preserve">is within the time interval -1/(2N) </w:t>
      </w:r>
      <m:oMath>
        <m:r>
          <w:rPr>
            <w:rFonts w:ascii="Cambria Math" w:hAnsi="Cambria Math"/>
            <w:sz w:val="22"/>
          </w:rPr>
          <m:t>≤∆&lt;</m:t>
        </m:r>
      </m:oMath>
      <w:r w:rsidR="003057D1">
        <w:rPr>
          <w:sz w:val="22"/>
        </w:rPr>
        <w:t xml:space="preserve"> 1/(2N) ms.</w:t>
      </w:r>
    </w:p>
    <w:p w:rsidR="007D438F" w:rsidRDefault="00C21285" w:rsidP="000922B9">
      <w:pPr>
        <w:jc w:val="both"/>
        <w:rPr>
          <w:sz w:val="22"/>
          <w:lang w:val="en-CA"/>
        </w:rPr>
      </w:pPr>
      <w:r>
        <w:rPr>
          <w:sz w:val="22"/>
          <w:lang w:val="en-CA"/>
        </w:rPr>
        <w:t xml:space="preserve">Regarding the reporting, TTI boundary offset may be mapped </w:t>
      </w:r>
      <w:r w:rsidR="009D5E1B">
        <w:rPr>
          <w:sz w:val="22"/>
          <w:lang w:val="en-CA"/>
        </w:rPr>
        <w:t xml:space="preserve">onto an 8-bit number like Subframe boundary offset in </w:t>
      </w:r>
      <w:r w:rsidR="00AE07D1">
        <w:rPr>
          <w:sz w:val="22"/>
          <w:lang w:val="en-CA"/>
        </w:rPr>
        <w:t xml:space="preserve">the existing </w:t>
      </w:r>
      <w:r w:rsidR="009D5E1B">
        <w:rPr>
          <w:sz w:val="22"/>
          <w:lang w:val="en-CA"/>
        </w:rPr>
        <w:t xml:space="preserve">LTE SSTD reporting. </w:t>
      </w:r>
      <w:r w:rsidR="00AE07D1">
        <w:rPr>
          <w:sz w:val="22"/>
          <w:lang w:val="en-CA"/>
        </w:rPr>
        <w:t>Should the s</w:t>
      </w:r>
      <w:r w:rsidR="009D5E1B">
        <w:rPr>
          <w:sz w:val="22"/>
          <w:lang w:val="en-CA"/>
        </w:rPr>
        <w:t xml:space="preserve">ystem requirements, i.e. tolerable time difference, for synchronous </w:t>
      </w:r>
      <w:r w:rsidR="00AE07D1">
        <w:rPr>
          <w:sz w:val="22"/>
          <w:lang w:val="en-CA"/>
        </w:rPr>
        <w:t xml:space="preserve">DC operation </w:t>
      </w:r>
      <w:r w:rsidR="009D5E1B">
        <w:rPr>
          <w:sz w:val="22"/>
          <w:lang w:val="en-CA"/>
        </w:rPr>
        <w:t>differ</w:t>
      </w:r>
      <w:r w:rsidR="00AE07D1">
        <w:rPr>
          <w:sz w:val="22"/>
          <w:lang w:val="en-CA"/>
        </w:rPr>
        <w:t xml:space="preserve"> for different PSCell numerologies, different mapping tables can be introduced. For instance, scaling existing requirements for synchronous operation linearly with the number of TTIs per subframe used in the NR cell might not be optimum. Similarly, maintaining a constant requirement (e.g. </w:t>
      </w:r>
      <w:r w:rsidR="00AE07D1">
        <w:rPr>
          <w:rFonts w:ascii="Calibri" w:hAnsi="Calibri"/>
          <w:sz w:val="22"/>
          <w:lang w:val="en-CA"/>
        </w:rPr>
        <w:t>±</w:t>
      </w:r>
      <w:r w:rsidR="00AE07D1">
        <w:rPr>
          <w:sz w:val="22"/>
          <w:lang w:val="en-CA"/>
        </w:rPr>
        <w:t>33</w:t>
      </w:r>
      <w:r w:rsidR="00AE07D1">
        <w:rPr>
          <w:rFonts w:ascii="Calibri" w:hAnsi="Calibri"/>
          <w:sz w:val="22"/>
          <w:lang w:val="en-CA"/>
        </w:rPr>
        <w:t>μ</w:t>
      </w:r>
      <w:r w:rsidR="00AE07D1">
        <w:rPr>
          <w:sz w:val="22"/>
          <w:lang w:val="en-CA"/>
        </w:rPr>
        <w:t>s) might not be optimum either.</w:t>
      </w:r>
      <w:r w:rsidR="007D438F">
        <w:rPr>
          <w:sz w:val="22"/>
          <w:lang w:val="en-CA"/>
        </w:rPr>
        <w:t xml:space="preserve"> These two extremes are illustrated </w:t>
      </w:r>
      <w:r w:rsidR="007D438F" w:rsidRPr="005D23E4">
        <w:rPr>
          <w:sz w:val="22"/>
          <w:szCs w:val="22"/>
          <w:lang w:val="en-CA"/>
        </w:rPr>
        <w:t>in</w:t>
      </w:r>
      <w:r w:rsidR="00C900A2">
        <w:rPr>
          <w:sz w:val="22"/>
          <w:szCs w:val="22"/>
          <w:lang w:val="en-CA"/>
        </w:rPr>
        <w:t xml:space="preserve"> Figure 5</w:t>
      </w:r>
      <w:r w:rsidR="007D438F" w:rsidRPr="005D23E4">
        <w:rPr>
          <w:sz w:val="22"/>
          <w:szCs w:val="22"/>
          <w:lang w:val="en-CA"/>
        </w:rPr>
        <w:t>.</w:t>
      </w:r>
    </w:p>
    <w:p w:rsidR="007D438F" w:rsidRDefault="007D438F" w:rsidP="007D438F">
      <w:pPr>
        <w:keepNext/>
        <w:ind w:left="-567" w:right="-426"/>
      </w:pPr>
      <w:r w:rsidRPr="00D85D32">
        <w:rPr>
          <w:noProof/>
          <w:lang w:val="en-US"/>
        </w:rPr>
        <w:lastRenderedPageBreak/>
        <w:drawing>
          <wp:inline distT="0" distB="0" distL="0" distR="0" wp14:anchorId="7900E5E9" wp14:editId="3281212B">
            <wp:extent cx="3283200" cy="246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83200" cy="2462400"/>
                    </a:xfrm>
                    <a:prstGeom prst="rect">
                      <a:avLst/>
                    </a:prstGeom>
                  </pic:spPr>
                </pic:pic>
              </a:graphicData>
            </a:graphic>
          </wp:inline>
        </w:drawing>
      </w:r>
      <w:r w:rsidR="00AE07D1" w:rsidRPr="00D85D32">
        <w:rPr>
          <w:rFonts w:cs="Arial"/>
          <w:noProof/>
          <w:sz w:val="22"/>
          <w:szCs w:val="18"/>
          <w:lang w:val="en-US"/>
        </w:rPr>
        <w:drawing>
          <wp:inline distT="0" distB="0" distL="0" distR="0" wp14:anchorId="1EE23C79" wp14:editId="6836BD3B">
            <wp:extent cx="3283200" cy="246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83200" cy="2462400"/>
                    </a:xfrm>
                    <a:prstGeom prst="rect">
                      <a:avLst/>
                    </a:prstGeom>
                  </pic:spPr>
                </pic:pic>
              </a:graphicData>
            </a:graphic>
          </wp:inline>
        </w:drawing>
      </w:r>
    </w:p>
    <w:p w:rsidR="00C900A2" w:rsidRPr="0040533F" w:rsidRDefault="00C900A2" w:rsidP="007D438F">
      <w:pPr>
        <w:pStyle w:val="Caption"/>
        <w:rPr>
          <w:b w:val="0"/>
          <w:sz w:val="22"/>
          <w:lang w:val="en-US"/>
        </w:rPr>
      </w:pPr>
      <w:bookmarkStart w:id="6" w:name="_Ref485465880"/>
      <w:r>
        <w:rPr>
          <w:sz w:val="22"/>
          <w:lang w:val="en-GB"/>
        </w:rPr>
        <w:t xml:space="preserve">Figure 5: </w:t>
      </w:r>
      <w:bookmarkEnd w:id="6"/>
      <w:r w:rsidR="005B12DB" w:rsidRPr="0040533F">
        <w:rPr>
          <w:b w:val="0"/>
          <w:sz w:val="22"/>
          <w:lang w:val="en-US"/>
        </w:rPr>
        <w:t>Illustration o</w:t>
      </w:r>
      <w:r w:rsidR="005D23E4" w:rsidRPr="0040533F">
        <w:rPr>
          <w:b w:val="0"/>
          <w:sz w:val="22"/>
          <w:lang w:val="en-US"/>
        </w:rPr>
        <w:t>f characteristics of mapping functions as function of number of NR slots (N) per subframe. (Left) Linear scaling of mapping function with number of NR slots. (Right) Constant mapping regardless of number of NR slots.</w:t>
      </w:r>
    </w:p>
    <w:p w:rsidR="00AE07D1" w:rsidRPr="005C6930" w:rsidRDefault="005D23E4" w:rsidP="007D438F">
      <w:pPr>
        <w:pStyle w:val="Caption"/>
        <w:rPr>
          <w:lang w:val="en-US"/>
        </w:rPr>
      </w:pPr>
      <w:r>
        <w:rPr>
          <w:sz w:val="22"/>
          <w:lang w:val="en-US"/>
        </w:rPr>
        <w:t xml:space="preserve"> </w:t>
      </w:r>
    </w:p>
    <w:p w:rsidR="000922B9" w:rsidRDefault="000922B9" w:rsidP="000922B9">
      <w:pPr>
        <w:rPr>
          <w:b/>
          <w:sz w:val="22"/>
          <w:lang w:val="en-US" w:eastAsia="ja-JP"/>
        </w:rPr>
      </w:pPr>
    </w:p>
    <w:p w:rsidR="00682840" w:rsidRDefault="000922B9" w:rsidP="000922B9">
      <w:pPr>
        <w:rPr>
          <w:b/>
          <w:sz w:val="22"/>
          <w:lang w:val="en-US" w:eastAsia="ja-JP"/>
        </w:rPr>
      </w:pPr>
      <w:r>
        <w:rPr>
          <w:b/>
          <w:sz w:val="22"/>
          <w:lang w:val="en-US" w:eastAsia="ja-JP"/>
        </w:rPr>
        <w:t xml:space="preserve">Proposal 1: </w:t>
      </w:r>
    </w:p>
    <w:p w:rsidR="00682840" w:rsidRDefault="00682840" w:rsidP="00682840">
      <w:pPr>
        <w:pStyle w:val="ListParagraph"/>
        <w:numPr>
          <w:ilvl w:val="0"/>
          <w:numId w:val="13"/>
        </w:numPr>
        <w:rPr>
          <w:sz w:val="22"/>
          <w:lang w:val="en-US" w:eastAsia="ja-JP"/>
        </w:rPr>
      </w:pPr>
      <w:r w:rsidRPr="00682840">
        <w:rPr>
          <w:sz w:val="22"/>
          <w:lang w:val="en-US" w:eastAsia="ja-JP"/>
        </w:rPr>
        <w:t>RAN4 asks RAN1 to</w:t>
      </w:r>
      <w:r w:rsidR="003C76C5">
        <w:rPr>
          <w:sz w:val="22"/>
          <w:lang w:val="en-US" w:eastAsia="ja-JP"/>
        </w:rPr>
        <w:t xml:space="preserve"> specify</w:t>
      </w:r>
      <w:r w:rsidRPr="00682840">
        <w:rPr>
          <w:sz w:val="22"/>
          <w:lang w:val="en-US" w:eastAsia="ja-JP"/>
        </w:rPr>
        <w:t xml:space="preserve"> a measurement de</w:t>
      </w:r>
      <w:r>
        <w:rPr>
          <w:sz w:val="22"/>
          <w:lang w:val="en-US" w:eastAsia="ja-JP"/>
        </w:rPr>
        <w:t>finition for SSTTD measurements</w:t>
      </w:r>
      <w:r w:rsidR="003C76C5">
        <w:rPr>
          <w:sz w:val="22"/>
          <w:lang w:val="en-US" w:eastAsia="ja-JP"/>
        </w:rPr>
        <w:t xml:space="preserve"> in relevant RAN1 specification(s)</w:t>
      </w:r>
      <w:r>
        <w:rPr>
          <w:sz w:val="22"/>
          <w:lang w:val="en-US" w:eastAsia="ja-JP"/>
        </w:rPr>
        <w:t>.</w:t>
      </w:r>
    </w:p>
    <w:p w:rsidR="00682840" w:rsidRDefault="00682840" w:rsidP="00682840">
      <w:pPr>
        <w:pStyle w:val="ListParagraph"/>
        <w:numPr>
          <w:ilvl w:val="0"/>
          <w:numId w:val="13"/>
        </w:numPr>
        <w:rPr>
          <w:sz w:val="22"/>
          <w:lang w:val="en-US" w:eastAsia="ja-JP"/>
        </w:rPr>
      </w:pPr>
      <w:r>
        <w:rPr>
          <w:sz w:val="22"/>
          <w:lang w:val="en-US" w:eastAsia="ja-JP"/>
        </w:rPr>
        <w:t>RAN4 asks RAN1 whether the number of NR slots per subframe for PSCell shall be either:</w:t>
      </w:r>
    </w:p>
    <w:p w:rsidR="00682840" w:rsidRDefault="00682840" w:rsidP="00682840">
      <w:pPr>
        <w:pStyle w:val="ListParagraph"/>
        <w:numPr>
          <w:ilvl w:val="1"/>
          <w:numId w:val="13"/>
        </w:numPr>
        <w:rPr>
          <w:sz w:val="22"/>
          <w:lang w:val="en-US" w:eastAsia="ja-JP"/>
        </w:rPr>
      </w:pPr>
      <w:r>
        <w:rPr>
          <w:sz w:val="22"/>
          <w:lang w:val="en-US" w:eastAsia="ja-JP"/>
        </w:rPr>
        <w:t>(a) Deduced by the UE after detecting a NR-SS block and reading NR-PBCH, or</w:t>
      </w:r>
    </w:p>
    <w:p w:rsidR="00682840" w:rsidRPr="00682840" w:rsidRDefault="00682840" w:rsidP="00682840">
      <w:pPr>
        <w:pStyle w:val="ListParagraph"/>
        <w:numPr>
          <w:ilvl w:val="1"/>
          <w:numId w:val="13"/>
        </w:numPr>
        <w:rPr>
          <w:sz w:val="22"/>
          <w:lang w:val="en-US" w:eastAsia="ja-JP"/>
        </w:rPr>
      </w:pPr>
      <w:r>
        <w:rPr>
          <w:sz w:val="22"/>
          <w:lang w:val="en-US" w:eastAsia="ja-JP"/>
        </w:rPr>
        <w:t xml:space="preserve">(b) Shall be provided by the network as part of the measurement configuration.  </w:t>
      </w:r>
    </w:p>
    <w:p w:rsidR="000922B9" w:rsidRDefault="00682840" w:rsidP="00682840">
      <w:pPr>
        <w:pStyle w:val="ListParagraph"/>
        <w:numPr>
          <w:ilvl w:val="0"/>
          <w:numId w:val="13"/>
        </w:numPr>
        <w:rPr>
          <w:sz w:val="22"/>
          <w:lang w:val="en-US" w:eastAsia="ja-JP"/>
        </w:rPr>
      </w:pPr>
      <w:r w:rsidRPr="00682840">
        <w:rPr>
          <w:sz w:val="22"/>
          <w:lang w:val="en-US" w:eastAsia="ja-JP"/>
        </w:rPr>
        <w:t>RAN4 informs</w:t>
      </w:r>
      <w:r>
        <w:rPr>
          <w:sz w:val="22"/>
          <w:lang w:val="en-US" w:eastAsia="ja-JP"/>
        </w:rPr>
        <w:t xml:space="preserve"> RAN1 on that if different hyper-frame lengths are used in LTE and N</w:t>
      </w:r>
      <w:r w:rsidR="002D728E">
        <w:rPr>
          <w:sz w:val="22"/>
          <w:lang w:val="en-US" w:eastAsia="ja-JP"/>
        </w:rPr>
        <w:t xml:space="preserve">R, the </w:t>
      </w:r>
      <w:r w:rsidR="000231A9">
        <w:rPr>
          <w:sz w:val="22"/>
          <w:lang w:val="en-US" w:eastAsia="ja-JP"/>
        </w:rPr>
        <w:t>SSTTD reporting will be ambiguous regarding the SFN offset</w:t>
      </w:r>
      <w:r>
        <w:rPr>
          <w:sz w:val="22"/>
          <w:lang w:val="en-US" w:eastAsia="ja-JP"/>
        </w:rPr>
        <w:t>.</w:t>
      </w:r>
    </w:p>
    <w:p w:rsidR="00682840" w:rsidRDefault="00682840" w:rsidP="000922B9">
      <w:pPr>
        <w:rPr>
          <w:b/>
          <w:sz w:val="22"/>
          <w:lang w:val="en-US" w:eastAsia="ja-JP"/>
        </w:rPr>
      </w:pPr>
      <w:r>
        <w:rPr>
          <w:b/>
          <w:sz w:val="22"/>
          <w:lang w:val="en-US" w:eastAsia="ja-JP"/>
        </w:rPr>
        <w:t>Proposal 2:</w:t>
      </w:r>
    </w:p>
    <w:p w:rsidR="002D728E" w:rsidRPr="002D728E" w:rsidRDefault="00682840" w:rsidP="00682840">
      <w:pPr>
        <w:pStyle w:val="ListParagraph"/>
        <w:numPr>
          <w:ilvl w:val="0"/>
          <w:numId w:val="14"/>
        </w:numPr>
        <w:rPr>
          <w:b/>
          <w:sz w:val="22"/>
          <w:lang w:val="en-US" w:eastAsia="ja-JP"/>
        </w:rPr>
      </w:pPr>
      <w:r>
        <w:rPr>
          <w:sz w:val="22"/>
          <w:lang w:val="en-US" w:eastAsia="ja-JP"/>
        </w:rPr>
        <w:t>RAN4 asks</w:t>
      </w:r>
      <w:r w:rsidR="002D728E">
        <w:rPr>
          <w:sz w:val="22"/>
          <w:lang w:val="en-US" w:eastAsia="ja-JP"/>
        </w:rPr>
        <w:t xml:space="preserve"> RAN2 to, based on RAN1 outcome, provide message definitions for:</w:t>
      </w:r>
    </w:p>
    <w:p w:rsidR="002D728E" w:rsidRPr="002D728E" w:rsidRDefault="002D728E" w:rsidP="002D728E">
      <w:pPr>
        <w:pStyle w:val="ListParagraph"/>
        <w:numPr>
          <w:ilvl w:val="1"/>
          <w:numId w:val="14"/>
        </w:numPr>
        <w:rPr>
          <w:b/>
          <w:sz w:val="22"/>
          <w:lang w:val="en-US" w:eastAsia="ja-JP"/>
        </w:rPr>
      </w:pPr>
      <w:r>
        <w:rPr>
          <w:sz w:val="22"/>
          <w:lang w:val="en-US" w:eastAsia="ja-JP"/>
        </w:rPr>
        <w:t xml:space="preserve">SSTTD measurement request in direction </w:t>
      </w:r>
      <w:proofErr w:type="spellStart"/>
      <w:r w:rsidR="00923BB9">
        <w:rPr>
          <w:sz w:val="22"/>
          <w:lang w:val="en-US" w:eastAsia="ja-JP"/>
        </w:rPr>
        <w:t>MeNB</w:t>
      </w:r>
      <w:proofErr w:type="spellEnd"/>
      <w:r w:rsidR="00923BB9">
        <w:rPr>
          <w:sz w:val="22"/>
          <w:lang w:val="en-US" w:eastAsia="ja-JP"/>
        </w:rPr>
        <w:t xml:space="preserve"> or </w:t>
      </w:r>
      <w:proofErr w:type="spellStart"/>
      <w:r w:rsidR="00923BB9">
        <w:rPr>
          <w:sz w:val="22"/>
          <w:lang w:val="en-US" w:eastAsia="ja-JP"/>
        </w:rPr>
        <w:t>SgNB</w:t>
      </w:r>
      <w:proofErr w:type="spellEnd"/>
      <w:r>
        <w:rPr>
          <w:sz w:val="22"/>
          <w:lang w:val="en-US" w:eastAsia="ja-JP"/>
        </w:rPr>
        <w:t xml:space="preserve"> to UE, and</w:t>
      </w:r>
    </w:p>
    <w:p w:rsidR="002D728E" w:rsidRPr="002D728E" w:rsidRDefault="002D728E" w:rsidP="002D728E">
      <w:pPr>
        <w:pStyle w:val="ListParagraph"/>
        <w:numPr>
          <w:ilvl w:val="1"/>
          <w:numId w:val="14"/>
        </w:numPr>
        <w:rPr>
          <w:b/>
          <w:sz w:val="22"/>
          <w:lang w:val="en-US" w:eastAsia="ja-JP"/>
        </w:rPr>
      </w:pPr>
      <w:r>
        <w:rPr>
          <w:sz w:val="22"/>
          <w:lang w:val="en-US" w:eastAsia="ja-JP"/>
        </w:rPr>
        <w:t>SSTTD measur</w:t>
      </w:r>
      <w:r w:rsidR="00923BB9">
        <w:rPr>
          <w:sz w:val="22"/>
          <w:lang w:val="en-US" w:eastAsia="ja-JP"/>
        </w:rPr>
        <w:t xml:space="preserve">ement report in direction UE to </w:t>
      </w:r>
      <w:proofErr w:type="spellStart"/>
      <w:r w:rsidR="00923BB9">
        <w:rPr>
          <w:sz w:val="22"/>
          <w:lang w:val="en-US" w:eastAsia="ja-JP"/>
        </w:rPr>
        <w:t>MeNB</w:t>
      </w:r>
      <w:proofErr w:type="spellEnd"/>
      <w:r w:rsidR="00923BB9">
        <w:rPr>
          <w:sz w:val="22"/>
          <w:lang w:val="en-US" w:eastAsia="ja-JP"/>
        </w:rPr>
        <w:t xml:space="preserve"> or </w:t>
      </w:r>
      <w:proofErr w:type="spellStart"/>
      <w:r w:rsidR="00923BB9">
        <w:rPr>
          <w:sz w:val="22"/>
          <w:lang w:val="en-US" w:eastAsia="ja-JP"/>
        </w:rPr>
        <w:t>SgNB</w:t>
      </w:r>
      <w:proofErr w:type="spellEnd"/>
    </w:p>
    <w:p w:rsidR="002D728E" w:rsidRDefault="002D728E" w:rsidP="002D728E">
      <w:pPr>
        <w:rPr>
          <w:b/>
          <w:sz w:val="22"/>
          <w:lang w:val="en-US" w:eastAsia="ja-JP"/>
        </w:rPr>
      </w:pPr>
      <w:r>
        <w:rPr>
          <w:b/>
          <w:sz w:val="22"/>
          <w:lang w:val="en-US" w:eastAsia="ja-JP"/>
        </w:rPr>
        <w:t>Proposal 3:</w:t>
      </w:r>
    </w:p>
    <w:p w:rsidR="00682840" w:rsidRPr="002D728E" w:rsidRDefault="002D728E" w:rsidP="002D728E">
      <w:pPr>
        <w:pStyle w:val="ListParagraph"/>
        <w:numPr>
          <w:ilvl w:val="0"/>
          <w:numId w:val="14"/>
        </w:numPr>
        <w:rPr>
          <w:b/>
          <w:sz w:val="22"/>
          <w:lang w:val="en-US" w:eastAsia="ja-JP"/>
        </w:rPr>
      </w:pPr>
      <w:r>
        <w:rPr>
          <w:sz w:val="22"/>
          <w:lang w:val="en-US" w:eastAsia="ja-JP"/>
        </w:rPr>
        <w:t>RAN4 studies which tolerances with respect to TTI alignment between PCell and PSCell needs to be fulfilled in order to support synchronous DC operation in the supported NR PSCell configurations.</w:t>
      </w:r>
    </w:p>
    <w:p w:rsidR="002D728E" w:rsidRPr="0040533F" w:rsidRDefault="002D728E" w:rsidP="002D728E">
      <w:pPr>
        <w:pStyle w:val="ListParagraph"/>
        <w:numPr>
          <w:ilvl w:val="0"/>
          <w:numId w:val="14"/>
        </w:numPr>
        <w:rPr>
          <w:b/>
          <w:sz w:val="22"/>
          <w:lang w:val="en-US" w:eastAsia="ja-JP"/>
        </w:rPr>
      </w:pPr>
      <w:r>
        <w:rPr>
          <w:sz w:val="22"/>
          <w:lang w:val="en-US" w:eastAsia="ja-JP"/>
        </w:rPr>
        <w:t xml:space="preserve">Based on the </w:t>
      </w:r>
      <w:r w:rsidR="00D838F2">
        <w:rPr>
          <w:sz w:val="22"/>
          <w:lang w:val="en-US" w:eastAsia="ja-JP"/>
        </w:rPr>
        <w:t>agreed</w:t>
      </w:r>
      <w:r>
        <w:rPr>
          <w:sz w:val="22"/>
          <w:lang w:val="en-US" w:eastAsia="ja-JP"/>
        </w:rPr>
        <w:t xml:space="preserve"> tolerances, RAN4 defines suitable mapping functions for SSTTD reporting</w:t>
      </w:r>
      <w:r w:rsidR="00D838F2">
        <w:rPr>
          <w:sz w:val="22"/>
          <w:lang w:val="en-US" w:eastAsia="ja-JP"/>
        </w:rPr>
        <w:t>.</w:t>
      </w:r>
      <w:r>
        <w:rPr>
          <w:sz w:val="22"/>
          <w:lang w:val="en-US" w:eastAsia="ja-JP"/>
        </w:rPr>
        <w:t xml:space="preserve">  </w:t>
      </w:r>
    </w:p>
    <w:p w:rsidR="0023428F" w:rsidRPr="0040533F" w:rsidRDefault="0023428F" w:rsidP="0040533F">
      <w:pPr>
        <w:rPr>
          <w:b/>
          <w:sz w:val="22"/>
          <w:lang w:val="en-US" w:eastAsia="ja-JP"/>
        </w:rPr>
      </w:pPr>
    </w:p>
    <w:p w:rsidR="00632BA4" w:rsidRDefault="00632BA4" w:rsidP="00632BA4">
      <w:pPr>
        <w:pStyle w:val="Heading1"/>
        <w:rPr>
          <w:lang w:val="en-CA"/>
        </w:rPr>
      </w:pPr>
      <w:r w:rsidRPr="00457F73">
        <w:rPr>
          <w:lang w:val="en-CA"/>
        </w:rPr>
        <w:t>Summary</w:t>
      </w:r>
      <w:r w:rsidR="000E40D4" w:rsidRPr="00457F73">
        <w:rPr>
          <w:lang w:val="en-CA"/>
        </w:rPr>
        <w:t xml:space="preserve"> and Conclusions</w:t>
      </w:r>
    </w:p>
    <w:p w:rsidR="00507B19" w:rsidRDefault="00702FAD" w:rsidP="00345CF5">
      <w:pPr>
        <w:jc w:val="both"/>
        <w:rPr>
          <w:sz w:val="22"/>
          <w:lang w:val="en-CA"/>
        </w:rPr>
      </w:pPr>
      <w:r>
        <w:rPr>
          <w:sz w:val="22"/>
          <w:lang w:val="en-CA"/>
        </w:rPr>
        <w:t xml:space="preserve">In this contribution, </w:t>
      </w:r>
      <w:r w:rsidR="00507B19">
        <w:rPr>
          <w:sz w:val="22"/>
          <w:lang w:val="en-CA"/>
        </w:rPr>
        <w:t>we are providing a justification for the need of PCell to PSCell time difference reporting in NSA NR particularly for sub-6GHz, and also provide an outline of the format of such reporting</w:t>
      </w:r>
      <w:r w:rsidR="00AC6C81">
        <w:rPr>
          <w:sz w:val="22"/>
          <w:lang w:val="en-CA"/>
        </w:rPr>
        <w:t xml:space="preserve"> – here tentatively called SSTTD</w:t>
      </w:r>
      <w:r w:rsidR="00507B19">
        <w:rPr>
          <w:sz w:val="22"/>
          <w:lang w:val="en-CA"/>
        </w:rPr>
        <w:t>.</w:t>
      </w:r>
    </w:p>
    <w:p w:rsidR="00507B19" w:rsidRDefault="00507B19" w:rsidP="00345CF5">
      <w:pPr>
        <w:jc w:val="both"/>
        <w:rPr>
          <w:sz w:val="22"/>
          <w:lang w:val="en-CA"/>
        </w:rPr>
      </w:pPr>
      <w:r>
        <w:rPr>
          <w:sz w:val="22"/>
          <w:lang w:val="en-CA"/>
        </w:rPr>
        <w:t>We make the following observations:</w:t>
      </w:r>
    </w:p>
    <w:p w:rsidR="00507B19" w:rsidRDefault="00507B19" w:rsidP="00507B19">
      <w:pPr>
        <w:ind w:left="1440" w:hanging="1440"/>
        <w:jc w:val="both"/>
        <w:rPr>
          <w:sz w:val="22"/>
          <w:lang w:val="en-CA"/>
        </w:rPr>
      </w:pPr>
      <w:r w:rsidRPr="0040533F">
        <w:rPr>
          <w:b/>
          <w:sz w:val="22"/>
          <w:lang w:val="en-CA"/>
        </w:rPr>
        <w:t>Observation 1:</w:t>
      </w:r>
      <w:r>
        <w:rPr>
          <w:b/>
          <w:sz w:val="22"/>
          <w:lang w:val="en-CA"/>
        </w:rPr>
        <w:t xml:space="preserve"> </w:t>
      </w:r>
      <w:r w:rsidRPr="004B26AC">
        <w:rPr>
          <w:sz w:val="22"/>
          <w:lang w:val="en-CA"/>
        </w:rPr>
        <w:t>In LTE DC, without</w:t>
      </w:r>
      <w:r>
        <w:rPr>
          <w:sz w:val="22"/>
          <w:lang w:val="en-CA"/>
        </w:rPr>
        <w:t xml:space="preserve"> UE reporting of SSTD up to 5% of the PSCell scheduling opportunities would be lost – resulting in a reduction of the achievable UE throughput.</w:t>
      </w:r>
    </w:p>
    <w:p w:rsidR="00507B19" w:rsidRDefault="00507B19" w:rsidP="00507B19">
      <w:pPr>
        <w:ind w:left="1440" w:hanging="1440"/>
        <w:jc w:val="both"/>
        <w:rPr>
          <w:sz w:val="22"/>
          <w:lang w:val="en-CA"/>
        </w:rPr>
      </w:pPr>
      <w:r>
        <w:rPr>
          <w:b/>
          <w:sz w:val="22"/>
          <w:lang w:val="en-CA"/>
        </w:rPr>
        <w:lastRenderedPageBreak/>
        <w:t>Observation 2</w:t>
      </w:r>
      <w:r w:rsidRPr="00B217EA">
        <w:rPr>
          <w:b/>
          <w:sz w:val="22"/>
          <w:lang w:val="en-CA"/>
        </w:rPr>
        <w:t>:</w:t>
      </w:r>
      <w:r>
        <w:rPr>
          <w:b/>
          <w:sz w:val="22"/>
          <w:lang w:val="en-CA"/>
        </w:rPr>
        <w:t xml:space="preserve"> </w:t>
      </w:r>
      <w:r>
        <w:rPr>
          <w:sz w:val="22"/>
          <w:lang w:val="en-CA"/>
        </w:rPr>
        <w:t>For NR NSA, UE reporting of time difference would be required to avoid loss of scheduling opportunities, and for proper configuration of NCSGs.</w:t>
      </w:r>
    </w:p>
    <w:p w:rsidR="00507B19" w:rsidRPr="0040533F" w:rsidRDefault="00507B19" w:rsidP="00507B19">
      <w:pPr>
        <w:ind w:left="1440" w:hanging="1440"/>
        <w:jc w:val="both"/>
        <w:rPr>
          <w:sz w:val="22"/>
          <w:lang w:val="en-CA"/>
        </w:rPr>
      </w:pPr>
      <w:r>
        <w:rPr>
          <w:b/>
          <w:sz w:val="22"/>
          <w:lang w:val="en-CA"/>
        </w:rPr>
        <w:t>Observation 3:</w:t>
      </w:r>
      <w:r>
        <w:rPr>
          <w:sz w:val="22"/>
          <w:lang w:val="en-CA"/>
        </w:rPr>
        <w:t xml:space="preserve"> Existing LTE DC SSTD reporting format is based on a fixed TTI length of 1ms. In NR, a whole range of TTI lengths can be used, with a TTI length of 1ms representing the longest TTI. Synchronous operation can be supported whenever an LTE TTI is aligned with a NR TTI, hence reusing existing SSTD reporting format also for NR NSA would result in significant losses of scheduling opportunities. By defining a format that allows TTI border time difference to be reported – rather than just subframe border ditto – would prevent unnecessary loss of scheduling opportunities for the UE.</w:t>
      </w:r>
    </w:p>
    <w:p w:rsidR="00D838F2" w:rsidRDefault="00AC6C81" w:rsidP="00345CF5">
      <w:pPr>
        <w:jc w:val="both"/>
        <w:rPr>
          <w:sz w:val="22"/>
          <w:lang w:val="en-CA"/>
        </w:rPr>
      </w:pPr>
      <w:r>
        <w:rPr>
          <w:sz w:val="22"/>
          <w:lang w:val="en-CA"/>
        </w:rPr>
        <w:t>Based on the observations, we put forward the following proposals:</w:t>
      </w:r>
    </w:p>
    <w:p w:rsidR="00D838F2" w:rsidRDefault="00D838F2" w:rsidP="00D838F2">
      <w:pPr>
        <w:rPr>
          <w:b/>
          <w:sz w:val="22"/>
          <w:lang w:val="en-US" w:eastAsia="ja-JP"/>
        </w:rPr>
      </w:pPr>
      <w:r>
        <w:rPr>
          <w:b/>
          <w:sz w:val="22"/>
          <w:lang w:val="en-US" w:eastAsia="ja-JP"/>
        </w:rPr>
        <w:t xml:space="preserve">Proposal 1: </w:t>
      </w:r>
    </w:p>
    <w:p w:rsidR="00D838F2" w:rsidRDefault="00D838F2" w:rsidP="00D838F2">
      <w:pPr>
        <w:pStyle w:val="ListParagraph"/>
        <w:numPr>
          <w:ilvl w:val="0"/>
          <w:numId w:val="13"/>
        </w:numPr>
        <w:rPr>
          <w:sz w:val="22"/>
          <w:lang w:val="en-US" w:eastAsia="ja-JP"/>
        </w:rPr>
      </w:pPr>
      <w:r w:rsidRPr="00682840">
        <w:rPr>
          <w:sz w:val="22"/>
          <w:lang w:val="en-US" w:eastAsia="ja-JP"/>
        </w:rPr>
        <w:t xml:space="preserve">RAN4 asks RAN1 to </w:t>
      </w:r>
      <w:r w:rsidR="003C76C5">
        <w:rPr>
          <w:sz w:val="22"/>
          <w:lang w:val="en-US" w:eastAsia="ja-JP"/>
        </w:rPr>
        <w:t>specify</w:t>
      </w:r>
      <w:r w:rsidR="003C76C5" w:rsidRPr="00682840">
        <w:rPr>
          <w:sz w:val="22"/>
          <w:lang w:val="en-US" w:eastAsia="ja-JP"/>
        </w:rPr>
        <w:t xml:space="preserve"> </w:t>
      </w:r>
      <w:r w:rsidRPr="00682840">
        <w:rPr>
          <w:sz w:val="22"/>
          <w:lang w:val="en-US" w:eastAsia="ja-JP"/>
        </w:rPr>
        <w:t>a measurement de</w:t>
      </w:r>
      <w:r>
        <w:rPr>
          <w:sz w:val="22"/>
          <w:lang w:val="en-US" w:eastAsia="ja-JP"/>
        </w:rPr>
        <w:t>finition for SSTTD measurements</w:t>
      </w:r>
      <w:r w:rsidR="003C76C5">
        <w:rPr>
          <w:sz w:val="22"/>
          <w:lang w:val="en-US" w:eastAsia="ja-JP"/>
        </w:rPr>
        <w:t xml:space="preserve"> in relevant RAN1 specification(s).</w:t>
      </w:r>
    </w:p>
    <w:p w:rsidR="00D838F2" w:rsidRDefault="00D838F2" w:rsidP="00D838F2">
      <w:pPr>
        <w:pStyle w:val="ListParagraph"/>
        <w:numPr>
          <w:ilvl w:val="0"/>
          <w:numId w:val="13"/>
        </w:numPr>
        <w:rPr>
          <w:sz w:val="22"/>
          <w:lang w:val="en-US" w:eastAsia="ja-JP"/>
        </w:rPr>
      </w:pPr>
      <w:r>
        <w:rPr>
          <w:sz w:val="22"/>
          <w:lang w:val="en-US" w:eastAsia="ja-JP"/>
        </w:rPr>
        <w:t>RAN4 asks RAN1 whether the number of NR slots per subframe for PSCell shall be either:</w:t>
      </w:r>
    </w:p>
    <w:p w:rsidR="00D838F2" w:rsidRDefault="00D838F2" w:rsidP="00D838F2">
      <w:pPr>
        <w:pStyle w:val="ListParagraph"/>
        <w:numPr>
          <w:ilvl w:val="1"/>
          <w:numId w:val="13"/>
        </w:numPr>
        <w:rPr>
          <w:sz w:val="22"/>
          <w:lang w:val="en-US" w:eastAsia="ja-JP"/>
        </w:rPr>
      </w:pPr>
      <w:r>
        <w:rPr>
          <w:sz w:val="22"/>
          <w:lang w:val="en-US" w:eastAsia="ja-JP"/>
        </w:rPr>
        <w:t>(a) Deduced by the UE after detecting a NR-SS block and reading NR-PBCH, or</w:t>
      </w:r>
    </w:p>
    <w:p w:rsidR="00D838F2" w:rsidRPr="00682840" w:rsidRDefault="00D838F2" w:rsidP="00D838F2">
      <w:pPr>
        <w:pStyle w:val="ListParagraph"/>
        <w:numPr>
          <w:ilvl w:val="1"/>
          <w:numId w:val="13"/>
        </w:numPr>
        <w:rPr>
          <w:sz w:val="22"/>
          <w:lang w:val="en-US" w:eastAsia="ja-JP"/>
        </w:rPr>
      </w:pPr>
      <w:r>
        <w:rPr>
          <w:sz w:val="22"/>
          <w:lang w:val="en-US" w:eastAsia="ja-JP"/>
        </w:rPr>
        <w:t xml:space="preserve">(b) Shall be provided by the network as part of the measurement configuration.  </w:t>
      </w:r>
    </w:p>
    <w:p w:rsidR="00D838F2" w:rsidRDefault="00D838F2" w:rsidP="00D838F2">
      <w:pPr>
        <w:pStyle w:val="ListParagraph"/>
        <w:numPr>
          <w:ilvl w:val="0"/>
          <w:numId w:val="13"/>
        </w:numPr>
        <w:rPr>
          <w:sz w:val="22"/>
          <w:lang w:val="en-US" w:eastAsia="ja-JP"/>
        </w:rPr>
      </w:pPr>
      <w:r w:rsidRPr="00682840">
        <w:rPr>
          <w:sz w:val="22"/>
          <w:lang w:val="en-US" w:eastAsia="ja-JP"/>
        </w:rPr>
        <w:t>RAN4 informs</w:t>
      </w:r>
      <w:r>
        <w:rPr>
          <w:sz w:val="22"/>
          <w:lang w:val="en-US" w:eastAsia="ja-JP"/>
        </w:rPr>
        <w:t xml:space="preserve"> RAN1 on that if different hyper-frame lengths are used in LTE and NR, the SSTTD reporting will be ambiguous regarding the SFN offset.</w:t>
      </w:r>
    </w:p>
    <w:p w:rsidR="00D838F2" w:rsidRDefault="00D838F2" w:rsidP="00D838F2">
      <w:pPr>
        <w:rPr>
          <w:b/>
          <w:sz w:val="22"/>
          <w:lang w:val="en-US" w:eastAsia="ja-JP"/>
        </w:rPr>
      </w:pPr>
      <w:r>
        <w:rPr>
          <w:b/>
          <w:sz w:val="22"/>
          <w:lang w:val="en-US" w:eastAsia="ja-JP"/>
        </w:rPr>
        <w:t>Proposal 2:</w:t>
      </w:r>
    </w:p>
    <w:p w:rsidR="00D838F2" w:rsidRPr="002D728E" w:rsidRDefault="00D838F2" w:rsidP="00D838F2">
      <w:pPr>
        <w:pStyle w:val="ListParagraph"/>
        <w:numPr>
          <w:ilvl w:val="0"/>
          <w:numId w:val="14"/>
        </w:numPr>
        <w:rPr>
          <w:b/>
          <w:sz w:val="22"/>
          <w:lang w:val="en-US" w:eastAsia="ja-JP"/>
        </w:rPr>
      </w:pPr>
      <w:r>
        <w:rPr>
          <w:sz w:val="22"/>
          <w:lang w:val="en-US" w:eastAsia="ja-JP"/>
        </w:rPr>
        <w:t>RAN4 asks RAN2 to, based on RAN1 outcome, provide message definitions for:</w:t>
      </w:r>
    </w:p>
    <w:p w:rsidR="00D838F2" w:rsidRPr="002D728E" w:rsidRDefault="00D838F2" w:rsidP="00D838F2">
      <w:pPr>
        <w:pStyle w:val="ListParagraph"/>
        <w:numPr>
          <w:ilvl w:val="1"/>
          <w:numId w:val="14"/>
        </w:numPr>
        <w:rPr>
          <w:b/>
          <w:sz w:val="22"/>
          <w:lang w:val="en-US" w:eastAsia="ja-JP"/>
        </w:rPr>
      </w:pPr>
      <w:r>
        <w:rPr>
          <w:sz w:val="22"/>
          <w:lang w:val="en-US" w:eastAsia="ja-JP"/>
        </w:rPr>
        <w:t xml:space="preserve">SSTTD measurement request in direction </w:t>
      </w:r>
      <w:proofErr w:type="spellStart"/>
      <w:r w:rsidRPr="004B26AC">
        <w:rPr>
          <w:sz w:val="22"/>
          <w:lang w:val="en-US" w:eastAsia="ja-JP"/>
        </w:rPr>
        <w:t>MeNB</w:t>
      </w:r>
      <w:proofErr w:type="spellEnd"/>
      <w:r>
        <w:rPr>
          <w:sz w:val="22"/>
          <w:lang w:val="en-US" w:eastAsia="ja-JP"/>
        </w:rPr>
        <w:t xml:space="preserve"> </w:t>
      </w:r>
      <w:r w:rsidR="00AC6C81">
        <w:rPr>
          <w:sz w:val="22"/>
          <w:lang w:val="en-US" w:eastAsia="ja-JP"/>
        </w:rPr>
        <w:t xml:space="preserve">or </w:t>
      </w:r>
      <w:proofErr w:type="spellStart"/>
      <w:r w:rsidR="00AC6C81">
        <w:rPr>
          <w:sz w:val="22"/>
          <w:lang w:val="en-US" w:eastAsia="ja-JP"/>
        </w:rPr>
        <w:t>SgNB</w:t>
      </w:r>
      <w:proofErr w:type="spellEnd"/>
      <w:r w:rsidR="00AC6C81">
        <w:rPr>
          <w:sz w:val="22"/>
          <w:lang w:val="en-US" w:eastAsia="ja-JP"/>
        </w:rPr>
        <w:t xml:space="preserve"> </w:t>
      </w:r>
      <w:r>
        <w:rPr>
          <w:sz w:val="22"/>
          <w:lang w:val="en-US" w:eastAsia="ja-JP"/>
        </w:rPr>
        <w:t>to UE, and</w:t>
      </w:r>
    </w:p>
    <w:p w:rsidR="00D838F2" w:rsidRPr="002D728E" w:rsidRDefault="00D838F2" w:rsidP="00D838F2">
      <w:pPr>
        <w:pStyle w:val="ListParagraph"/>
        <w:numPr>
          <w:ilvl w:val="1"/>
          <w:numId w:val="14"/>
        </w:numPr>
        <w:rPr>
          <w:b/>
          <w:sz w:val="22"/>
          <w:lang w:val="en-US" w:eastAsia="ja-JP"/>
        </w:rPr>
      </w:pPr>
      <w:r>
        <w:rPr>
          <w:sz w:val="22"/>
          <w:lang w:val="en-US" w:eastAsia="ja-JP"/>
        </w:rPr>
        <w:t xml:space="preserve">SSTTD measurement report in direction UE to </w:t>
      </w:r>
      <w:proofErr w:type="spellStart"/>
      <w:r w:rsidRPr="004B26AC">
        <w:rPr>
          <w:sz w:val="22"/>
          <w:lang w:val="en-US" w:eastAsia="ja-JP"/>
        </w:rPr>
        <w:t>MeNB</w:t>
      </w:r>
      <w:proofErr w:type="spellEnd"/>
      <w:r w:rsidR="00AC6C81">
        <w:rPr>
          <w:sz w:val="22"/>
          <w:lang w:val="en-US" w:eastAsia="ja-JP"/>
        </w:rPr>
        <w:t xml:space="preserve"> or </w:t>
      </w:r>
      <w:proofErr w:type="spellStart"/>
      <w:r w:rsidR="00AC6C81">
        <w:rPr>
          <w:sz w:val="22"/>
          <w:lang w:val="en-US" w:eastAsia="ja-JP"/>
        </w:rPr>
        <w:t>SgNB</w:t>
      </w:r>
      <w:proofErr w:type="spellEnd"/>
    </w:p>
    <w:p w:rsidR="00D838F2" w:rsidRDefault="00D838F2" w:rsidP="00D838F2">
      <w:pPr>
        <w:rPr>
          <w:b/>
          <w:sz w:val="22"/>
          <w:lang w:val="en-US" w:eastAsia="ja-JP"/>
        </w:rPr>
      </w:pPr>
      <w:r>
        <w:rPr>
          <w:b/>
          <w:sz w:val="22"/>
          <w:lang w:val="en-US" w:eastAsia="ja-JP"/>
        </w:rPr>
        <w:t>Proposal 3:</w:t>
      </w:r>
    </w:p>
    <w:p w:rsidR="00D838F2" w:rsidRPr="002D728E" w:rsidRDefault="00D838F2" w:rsidP="00D838F2">
      <w:pPr>
        <w:pStyle w:val="ListParagraph"/>
        <w:numPr>
          <w:ilvl w:val="0"/>
          <w:numId w:val="14"/>
        </w:numPr>
        <w:rPr>
          <w:b/>
          <w:sz w:val="22"/>
          <w:lang w:val="en-US" w:eastAsia="ja-JP"/>
        </w:rPr>
      </w:pPr>
      <w:r>
        <w:rPr>
          <w:sz w:val="22"/>
          <w:lang w:val="en-US" w:eastAsia="ja-JP"/>
        </w:rPr>
        <w:t>RAN4 studies which tolerances with respect to TTI alignment between PCell and PSCell needs to be fulfilled in order to support synchronous DC operation in the supported NR PSCell configurations.</w:t>
      </w:r>
    </w:p>
    <w:p w:rsidR="00D838F2" w:rsidRPr="002D728E" w:rsidRDefault="00D838F2" w:rsidP="00D838F2">
      <w:pPr>
        <w:pStyle w:val="ListParagraph"/>
        <w:numPr>
          <w:ilvl w:val="0"/>
          <w:numId w:val="14"/>
        </w:numPr>
        <w:rPr>
          <w:b/>
          <w:sz w:val="22"/>
          <w:lang w:val="en-US" w:eastAsia="ja-JP"/>
        </w:rPr>
      </w:pPr>
      <w:r>
        <w:rPr>
          <w:sz w:val="22"/>
          <w:lang w:val="en-US" w:eastAsia="ja-JP"/>
        </w:rPr>
        <w:t xml:space="preserve">Based on the agreed tolerances, RAN4 defines suitable mapping functions for SSTTD reporting.  </w:t>
      </w:r>
    </w:p>
    <w:p w:rsidR="00702FAD" w:rsidRPr="00702FAD" w:rsidRDefault="005B420B" w:rsidP="00345CF5">
      <w:pPr>
        <w:jc w:val="both"/>
        <w:rPr>
          <w:sz w:val="22"/>
          <w:lang w:val="en-US"/>
        </w:rPr>
      </w:pPr>
      <w:r>
        <w:rPr>
          <w:sz w:val="22"/>
          <w:lang w:val="en-US"/>
        </w:rPr>
        <w:t xml:space="preserve">A draft </w:t>
      </w:r>
      <w:r w:rsidR="00D838F2">
        <w:rPr>
          <w:sz w:val="22"/>
          <w:lang w:val="en-US"/>
        </w:rPr>
        <w:t xml:space="preserve">LS </w:t>
      </w:r>
      <w:r>
        <w:rPr>
          <w:sz w:val="22"/>
          <w:lang w:val="en-US"/>
        </w:rPr>
        <w:t>to RAN1 (RAN2 on CC) covering Proposals 1 and 2 i</w:t>
      </w:r>
      <w:r w:rsidR="003C76C5">
        <w:rPr>
          <w:sz w:val="22"/>
          <w:lang w:val="en-US"/>
        </w:rPr>
        <w:t>s</w:t>
      </w:r>
      <w:r w:rsidR="00D838F2">
        <w:rPr>
          <w:sz w:val="22"/>
          <w:lang w:val="en-US"/>
        </w:rPr>
        <w:t xml:space="preserve"> </w:t>
      </w:r>
      <w:r>
        <w:rPr>
          <w:sz w:val="22"/>
          <w:lang w:val="en-US"/>
        </w:rPr>
        <w:t>provided in</w:t>
      </w:r>
      <w:r w:rsidR="009B1F36">
        <w:rPr>
          <w:sz w:val="22"/>
          <w:lang w:val="en-US"/>
        </w:rPr>
        <w:t xml:space="preserve"> </w:t>
      </w:r>
      <w:r w:rsidR="009B1F36">
        <w:rPr>
          <w:sz w:val="22"/>
          <w:lang w:val="en-US"/>
        </w:rPr>
        <w:fldChar w:fldCharType="begin"/>
      </w:r>
      <w:r w:rsidR="009B1F36">
        <w:rPr>
          <w:sz w:val="22"/>
          <w:lang w:val="en-US"/>
        </w:rPr>
        <w:instrText xml:space="preserve"> REF _Ref494745363 \r \h </w:instrText>
      </w:r>
      <w:r w:rsidR="009B1F36">
        <w:rPr>
          <w:sz w:val="22"/>
          <w:lang w:val="en-US"/>
        </w:rPr>
      </w:r>
      <w:r w:rsidR="009B1F36">
        <w:rPr>
          <w:sz w:val="22"/>
          <w:lang w:val="en-US"/>
        </w:rPr>
        <w:fldChar w:fldCharType="separate"/>
      </w:r>
      <w:r w:rsidR="009B1F36">
        <w:rPr>
          <w:sz w:val="22"/>
          <w:lang w:val="en-US"/>
        </w:rPr>
        <w:t>[7]</w:t>
      </w:r>
      <w:r w:rsidR="009B1F36">
        <w:rPr>
          <w:sz w:val="22"/>
          <w:lang w:val="en-US"/>
        </w:rPr>
        <w:fldChar w:fldCharType="end"/>
      </w:r>
      <w:bookmarkStart w:id="7" w:name="_GoBack"/>
      <w:bookmarkEnd w:id="7"/>
      <w:r>
        <w:rPr>
          <w:sz w:val="22"/>
          <w:lang w:val="en-US"/>
        </w:rPr>
        <w:t>. For Proposal 3</w:t>
      </w:r>
      <w:r w:rsidR="00D838F2">
        <w:rPr>
          <w:sz w:val="22"/>
          <w:lang w:val="en-US"/>
        </w:rPr>
        <w:t>, we encourage companies to provide initial analyses at the RAN4#8</w:t>
      </w:r>
      <w:r w:rsidR="009B1F36">
        <w:rPr>
          <w:sz w:val="22"/>
          <w:lang w:val="en-US"/>
        </w:rPr>
        <w:t>5</w:t>
      </w:r>
      <w:r w:rsidR="00D838F2">
        <w:rPr>
          <w:sz w:val="22"/>
          <w:lang w:val="en-US"/>
        </w:rPr>
        <w:t xml:space="preserve"> meeting.</w:t>
      </w: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CA1725" w:rsidRDefault="00CA1725" w:rsidP="00742894">
      <w:pPr>
        <w:numPr>
          <w:ilvl w:val="0"/>
          <w:numId w:val="9"/>
        </w:numPr>
        <w:tabs>
          <w:tab w:val="left" w:pos="851"/>
        </w:tabs>
        <w:rPr>
          <w:rFonts w:ascii="Arial" w:hAnsi="Arial" w:cs="Arial"/>
          <w:sz w:val="22"/>
          <w:szCs w:val="22"/>
          <w:lang w:val="en-CA"/>
        </w:rPr>
      </w:pPr>
      <w:bookmarkStart w:id="8" w:name="_Ref485387765"/>
      <w:bookmarkStart w:id="9" w:name="_Ref481738953"/>
      <w:r>
        <w:rPr>
          <w:rFonts w:ascii="Arial" w:hAnsi="Arial" w:cs="Arial"/>
          <w:sz w:val="22"/>
          <w:szCs w:val="22"/>
          <w:lang w:val="en-CA"/>
        </w:rPr>
        <w:t>TS 36.214</w:t>
      </w:r>
      <w:bookmarkEnd w:id="8"/>
    </w:p>
    <w:p w:rsidR="0083470E" w:rsidRDefault="0064559B" w:rsidP="00742894">
      <w:pPr>
        <w:numPr>
          <w:ilvl w:val="0"/>
          <w:numId w:val="9"/>
        </w:numPr>
        <w:tabs>
          <w:tab w:val="left" w:pos="851"/>
        </w:tabs>
        <w:rPr>
          <w:rFonts w:ascii="Arial" w:hAnsi="Arial" w:cs="Arial"/>
          <w:sz w:val="22"/>
          <w:szCs w:val="22"/>
          <w:lang w:val="en-CA"/>
        </w:rPr>
      </w:pPr>
      <w:bookmarkStart w:id="10" w:name="_Ref485460518"/>
      <w:r>
        <w:rPr>
          <w:rFonts w:ascii="Arial" w:hAnsi="Arial" w:cs="Arial"/>
          <w:sz w:val="22"/>
          <w:szCs w:val="22"/>
          <w:lang w:val="en-CA"/>
        </w:rPr>
        <w:t xml:space="preserve">TS </w:t>
      </w:r>
      <w:r w:rsidR="00CC7994" w:rsidRPr="00457F73">
        <w:rPr>
          <w:rFonts w:ascii="Arial" w:hAnsi="Arial" w:cs="Arial"/>
          <w:sz w:val="22"/>
          <w:szCs w:val="22"/>
          <w:lang w:val="en-CA"/>
        </w:rPr>
        <w:t>36.133</w:t>
      </w:r>
      <w:bookmarkEnd w:id="9"/>
      <w:bookmarkEnd w:id="10"/>
    </w:p>
    <w:p w:rsidR="00364CEC" w:rsidRDefault="0064559B" w:rsidP="001B508E">
      <w:pPr>
        <w:numPr>
          <w:ilvl w:val="0"/>
          <w:numId w:val="9"/>
        </w:numPr>
        <w:tabs>
          <w:tab w:val="left" w:pos="851"/>
        </w:tabs>
        <w:rPr>
          <w:rFonts w:ascii="Arial" w:hAnsi="Arial" w:cs="Arial"/>
          <w:sz w:val="22"/>
          <w:szCs w:val="22"/>
          <w:lang w:val="en-CA"/>
        </w:rPr>
      </w:pPr>
      <w:bookmarkStart w:id="11" w:name="_Ref485041521"/>
      <w:r>
        <w:rPr>
          <w:rFonts w:ascii="Arial" w:hAnsi="Arial" w:cs="Arial"/>
          <w:sz w:val="22"/>
          <w:szCs w:val="22"/>
          <w:lang w:val="en-CA"/>
        </w:rPr>
        <w:t xml:space="preserve">TR </w:t>
      </w:r>
      <w:r w:rsidR="00364CEC">
        <w:rPr>
          <w:rFonts w:ascii="Arial" w:hAnsi="Arial" w:cs="Arial"/>
          <w:sz w:val="22"/>
          <w:szCs w:val="22"/>
          <w:lang w:val="en-CA"/>
        </w:rPr>
        <w:t>38.802</w:t>
      </w:r>
      <w:bookmarkEnd w:id="11"/>
    </w:p>
    <w:p w:rsidR="000972BA" w:rsidRDefault="000972BA" w:rsidP="001B508E">
      <w:pPr>
        <w:numPr>
          <w:ilvl w:val="0"/>
          <w:numId w:val="9"/>
        </w:numPr>
        <w:tabs>
          <w:tab w:val="left" w:pos="851"/>
        </w:tabs>
        <w:rPr>
          <w:rFonts w:ascii="Arial" w:hAnsi="Arial" w:cs="Arial"/>
          <w:sz w:val="22"/>
          <w:szCs w:val="22"/>
          <w:lang w:val="en-CA"/>
        </w:rPr>
      </w:pPr>
      <w:bookmarkStart w:id="12" w:name="_Ref485460126"/>
      <w:r>
        <w:rPr>
          <w:rFonts w:ascii="Arial" w:hAnsi="Arial" w:cs="Arial"/>
          <w:sz w:val="22"/>
          <w:szCs w:val="22"/>
          <w:lang w:val="en-CA"/>
        </w:rPr>
        <w:t>TS 36.331</w:t>
      </w:r>
      <w:bookmarkEnd w:id="12"/>
    </w:p>
    <w:p w:rsidR="00200350" w:rsidRDefault="00200350" w:rsidP="001B508E">
      <w:pPr>
        <w:numPr>
          <w:ilvl w:val="0"/>
          <w:numId w:val="9"/>
        </w:numPr>
        <w:tabs>
          <w:tab w:val="left" w:pos="851"/>
        </w:tabs>
        <w:rPr>
          <w:rFonts w:ascii="Arial" w:hAnsi="Arial" w:cs="Arial"/>
          <w:sz w:val="22"/>
          <w:szCs w:val="22"/>
          <w:lang w:val="en-CA"/>
        </w:rPr>
      </w:pPr>
      <w:bookmarkStart w:id="13" w:name="_Ref488830855"/>
      <w:r w:rsidRPr="00923BB9">
        <w:rPr>
          <w:rFonts w:ascii="Arial" w:hAnsi="Arial" w:cs="Arial"/>
          <w:sz w:val="22"/>
          <w:szCs w:val="22"/>
          <w:lang w:val="en-CA"/>
        </w:rPr>
        <w:t>R4-1706806 “SSTTD reporting for LTE-NR dual connectivity”, Ericsson</w:t>
      </w:r>
      <w:bookmarkEnd w:id="13"/>
    </w:p>
    <w:p w:rsidR="004A6978" w:rsidRDefault="00EA6D9B" w:rsidP="004A6978">
      <w:pPr>
        <w:pStyle w:val="ListParagraph"/>
        <w:numPr>
          <w:ilvl w:val="0"/>
          <w:numId w:val="9"/>
        </w:numPr>
        <w:tabs>
          <w:tab w:val="left" w:pos="1985"/>
        </w:tabs>
        <w:spacing w:after="0"/>
        <w:jc w:val="both"/>
        <w:rPr>
          <w:rFonts w:ascii="Arial" w:hAnsi="Arial" w:cs="Arial"/>
          <w:sz w:val="22"/>
          <w:szCs w:val="22"/>
          <w:lang w:val="en-CA"/>
        </w:rPr>
      </w:pPr>
      <w:bookmarkStart w:id="14" w:name="_Ref494480022"/>
      <w:r w:rsidRPr="00EA6D9B">
        <w:rPr>
          <w:rFonts w:ascii="Arial" w:hAnsi="Arial" w:cs="Arial"/>
          <w:sz w:val="22"/>
          <w:szCs w:val="22"/>
          <w:lang w:val="en-CA"/>
        </w:rPr>
        <w:t>R4-1708315 “SSTTD reporting in NSA NR”</w:t>
      </w:r>
      <w:r>
        <w:rPr>
          <w:rFonts w:ascii="Arial" w:hAnsi="Arial" w:cs="Arial"/>
          <w:sz w:val="22"/>
          <w:szCs w:val="22"/>
          <w:lang w:val="en-CA"/>
        </w:rPr>
        <w:t>, Ericsson</w:t>
      </w:r>
      <w:bookmarkEnd w:id="14"/>
    </w:p>
    <w:p w:rsidR="004A6978" w:rsidRPr="004A6978" w:rsidRDefault="004A6978" w:rsidP="004A6978">
      <w:pPr>
        <w:pStyle w:val="ListParagraph"/>
        <w:tabs>
          <w:tab w:val="left" w:pos="1985"/>
        </w:tabs>
        <w:spacing w:after="0"/>
        <w:jc w:val="both"/>
        <w:rPr>
          <w:rFonts w:ascii="Arial" w:hAnsi="Arial" w:cs="Arial"/>
          <w:sz w:val="22"/>
          <w:szCs w:val="22"/>
          <w:lang w:val="en-CA"/>
        </w:rPr>
      </w:pPr>
    </w:p>
    <w:p w:rsidR="004A6978" w:rsidRPr="00923BB9" w:rsidRDefault="00703E64" w:rsidP="004A6978">
      <w:pPr>
        <w:numPr>
          <w:ilvl w:val="0"/>
          <w:numId w:val="9"/>
        </w:numPr>
        <w:tabs>
          <w:tab w:val="left" w:pos="851"/>
        </w:tabs>
        <w:rPr>
          <w:rFonts w:ascii="Arial" w:hAnsi="Arial" w:cs="Arial"/>
          <w:sz w:val="22"/>
          <w:szCs w:val="22"/>
          <w:lang w:val="en-CA"/>
        </w:rPr>
      </w:pPr>
      <w:bookmarkStart w:id="15" w:name="_Ref494745363"/>
      <w:r w:rsidRPr="00703E64">
        <w:rPr>
          <w:rFonts w:ascii="Arial" w:hAnsi="Arial" w:cs="Arial"/>
          <w:sz w:val="22"/>
          <w:szCs w:val="22"/>
          <w:lang w:val="en-CA"/>
        </w:rPr>
        <w:t>R4-1711458</w:t>
      </w:r>
      <w:r>
        <w:rPr>
          <w:rFonts w:ascii="Arial" w:hAnsi="Arial" w:cs="Arial"/>
          <w:sz w:val="22"/>
          <w:szCs w:val="22"/>
          <w:lang w:val="en-CA"/>
        </w:rPr>
        <w:t xml:space="preserve"> “</w:t>
      </w:r>
      <w:r w:rsidR="004A6978" w:rsidRPr="00923BB9">
        <w:rPr>
          <w:rFonts w:ascii="Arial" w:hAnsi="Arial" w:cs="Arial"/>
          <w:sz w:val="22"/>
          <w:szCs w:val="22"/>
          <w:lang w:val="en-CA"/>
        </w:rPr>
        <w:t xml:space="preserve">LS </w:t>
      </w:r>
      <w:r>
        <w:rPr>
          <w:rFonts w:ascii="Arial" w:hAnsi="Arial" w:cs="Arial"/>
          <w:sz w:val="22"/>
          <w:szCs w:val="22"/>
          <w:lang w:val="en-CA"/>
        </w:rPr>
        <w:t xml:space="preserve">to RAN1 </w:t>
      </w:r>
      <w:r w:rsidR="004A6978" w:rsidRPr="00923BB9">
        <w:rPr>
          <w:rFonts w:ascii="Arial" w:hAnsi="Arial" w:cs="Arial"/>
          <w:sz w:val="22"/>
          <w:szCs w:val="22"/>
          <w:lang w:val="en-CA"/>
        </w:rPr>
        <w:t xml:space="preserve">on </w:t>
      </w:r>
      <w:r>
        <w:rPr>
          <w:rFonts w:ascii="Arial" w:hAnsi="Arial" w:cs="Arial"/>
          <w:sz w:val="22"/>
          <w:szCs w:val="22"/>
          <w:lang w:val="en-CA"/>
        </w:rPr>
        <w:t xml:space="preserve">SSTTD measurement definition </w:t>
      </w:r>
      <w:r w:rsidR="004A6978" w:rsidRPr="00923BB9">
        <w:rPr>
          <w:rFonts w:ascii="Arial" w:hAnsi="Arial" w:cs="Arial"/>
          <w:sz w:val="22"/>
          <w:szCs w:val="22"/>
          <w:lang w:val="en-CA"/>
        </w:rPr>
        <w:t>for NSA NR”, Ericsson</w:t>
      </w:r>
      <w:bookmarkEnd w:id="15"/>
    </w:p>
    <w:p w:rsidR="004A6978" w:rsidRPr="00EA6D9B" w:rsidRDefault="004A6978" w:rsidP="004A6978">
      <w:pPr>
        <w:pStyle w:val="ListParagraph"/>
        <w:tabs>
          <w:tab w:val="left" w:pos="1985"/>
        </w:tabs>
        <w:spacing w:after="0"/>
        <w:jc w:val="both"/>
        <w:rPr>
          <w:rFonts w:ascii="Arial" w:hAnsi="Arial" w:cs="Arial"/>
          <w:sz w:val="22"/>
          <w:szCs w:val="22"/>
          <w:lang w:val="en-CA"/>
        </w:rPr>
      </w:pPr>
    </w:p>
    <w:p w:rsidR="00702FAD" w:rsidRDefault="00702FAD" w:rsidP="004E03FB">
      <w:pPr>
        <w:tabs>
          <w:tab w:val="left" w:pos="851"/>
        </w:tabs>
        <w:rPr>
          <w:rFonts w:ascii="Arial" w:hAnsi="Arial" w:cs="Arial"/>
          <w:sz w:val="22"/>
          <w:szCs w:val="22"/>
          <w:lang w:val="en-CA"/>
        </w:rPr>
      </w:pPr>
    </w:p>
    <w:p w:rsidR="00702FAD" w:rsidRDefault="00702FAD" w:rsidP="00702FAD">
      <w:pPr>
        <w:tabs>
          <w:tab w:val="left" w:pos="851"/>
        </w:tabs>
        <w:rPr>
          <w:rFonts w:ascii="Arial" w:hAnsi="Arial" w:cs="Arial"/>
          <w:sz w:val="22"/>
          <w:szCs w:val="22"/>
          <w:lang w:val="en-CA"/>
        </w:rPr>
      </w:pPr>
    </w:p>
    <w:p w:rsidR="002E45A3" w:rsidRPr="001B508E" w:rsidRDefault="002E45A3" w:rsidP="0040533F">
      <w:pPr>
        <w:keepNext/>
        <w:tabs>
          <w:tab w:val="left" w:pos="851"/>
        </w:tabs>
        <w:rPr>
          <w:rFonts w:ascii="Arial" w:hAnsi="Arial" w:cs="Arial"/>
          <w:sz w:val="22"/>
          <w:szCs w:val="22"/>
          <w:lang w:val="en-CA"/>
        </w:rPr>
      </w:pPr>
    </w:p>
    <w:sectPr w:rsidR="002E45A3" w:rsidRPr="001B508E" w:rsidSect="00D04AF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1ACB" w:rsidRDefault="00811ACB">
      <w:r>
        <w:separator/>
      </w:r>
    </w:p>
  </w:endnote>
  <w:endnote w:type="continuationSeparator" w:id="0">
    <w:p w:rsidR="00811ACB" w:rsidRDefault="00811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46" w:rsidRDefault="00D91D4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1D46" w:rsidRDefault="00D9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1D46" w:rsidRDefault="00D91D4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1F36">
      <w:rPr>
        <w:rStyle w:val="PageNumber"/>
        <w:noProof/>
      </w:rPr>
      <w:t>1</w:t>
    </w:r>
    <w:r>
      <w:rPr>
        <w:rStyle w:val="PageNumber"/>
      </w:rPr>
      <w:fldChar w:fldCharType="end"/>
    </w:r>
  </w:p>
  <w:p w:rsidR="00D91D46" w:rsidRDefault="00D9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07B" w:rsidRDefault="00242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1ACB" w:rsidRDefault="00811ACB">
      <w:r>
        <w:separator/>
      </w:r>
    </w:p>
  </w:footnote>
  <w:footnote w:type="continuationSeparator" w:id="0">
    <w:p w:rsidR="00811ACB" w:rsidRDefault="00811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07B" w:rsidRDefault="002420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07B" w:rsidRDefault="00242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207B" w:rsidRDefault="00242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13"/>
  </w:num>
  <w:num w:numId="4">
    <w:abstractNumId w:val="5"/>
  </w:num>
  <w:num w:numId="5">
    <w:abstractNumId w:val="6"/>
  </w:num>
  <w:num w:numId="6">
    <w:abstractNumId w:val="1"/>
  </w:num>
  <w:num w:numId="7">
    <w:abstractNumId w:val="0"/>
  </w:num>
  <w:num w:numId="8">
    <w:abstractNumId w:val="15"/>
  </w:num>
  <w:num w:numId="9">
    <w:abstractNumId w:val="10"/>
  </w:num>
  <w:num w:numId="10">
    <w:abstractNumId w:val="9"/>
  </w:num>
  <w:num w:numId="11">
    <w:abstractNumId w:val="4"/>
  </w:num>
  <w:num w:numId="12">
    <w:abstractNumId w:val="3"/>
  </w:num>
  <w:num w:numId="13">
    <w:abstractNumId w:val="7"/>
  </w:num>
  <w:num w:numId="14">
    <w:abstractNumId w:val="12"/>
  </w:num>
  <w:num w:numId="15">
    <w:abstractNumId w:val="2"/>
  </w:num>
  <w:num w:numId="1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4C5F"/>
    <w:rsid w:val="00015258"/>
    <w:rsid w:val="0001579B"/>
    <w:rsid w:val="0001686B"/>
    <w:rsid w:val="00017E83"/>
    <w:rsid w:val="00017F08"/>
    <w:rsid w:val="00021FA1"/>
    <w:rsid w:val="00022E4A"/>
    <w:rsid w:val="00023187"/>
    <w:rsid w:val="000231A9"/>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3F25"/>
    <w:rsid w:val="000840BF"/>
    <w:rsid w:val="0008547F"/>
    <w:rsid w:val="00085C0D"/>
    <w:rsid w:val="000864E2"/>
    <w:rsid w:val="00086CD6"/>
    <w:rsid w:val="00086E59"/>
    <w:rsid w:val="000873A1"/>
    <w:rsid w:val="000918CB"/>
    <w:rsid w:val="00091E1F"/>
    <w:rsid w:val="000922B9"/>
    <w:rsid w:val="00092416"/>
    <w:rsid w:val="00092737"/>
    <w:rsid w:val="0009346C"/>
    <w:rsid w:val="00094894"/>
    <w:rsid w:val="00095E60"/>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D9F"/>
    <w:rsid w:val="001C1DA8"/>
    <w:rsid w:val="001C2A18"/>
    <w:rsid w:val="001C2BA8"/>
    <w:rsid w:val="001C37EB"/>
    <w:rsid w:val="001C3DB1"/>
    <w:rsid w:val="001C4417"/>
    <w:rsid w:val="001C523B"/>
    <w:rsid w:val="001C5787"/>
    <w:rsid w:val="001C59FB"/>
    <w:rsid w:val="001C5CB2"/>
    <w:rsid w:val="001C6301"/>
    <w:rsid w:val="001C6F31"/>
    <w:rsid w:val="001C7171"/>
    <w:rsid w:val="001C788A"/>
    <w:rsid w:val="001D042F"/>
    <w:rsid w:val="001D1B15"/>
    <w:rsid w:val="001D20CB"/>
    <w:rsid w:val="001D345B"/>
    <w:rsid w:val="001D385F"/>
    <w:rsid w:val="001D3968"/>
    <w:rsid w:val="001D40CE"/>
    <w:rsid w:val="001D4BC3"/>
    <w:rsid w:val="001D500E"/>
    <w:rsid w:val="001D7E7E"/>
    <w:rsid w:val="001D7FC0"/>
    <w:rsid w:val="001E10AA"/>
    <w:rsid w:val="001E1450"/>
    <w:rsid w:val="001E1A9E"/>
    <w:rsid w:val="001E2151"/>
    <w:rsid w:val="001E302D"/>
    <w:rsid w:val="001E3068"/>
    <w:rsid w:val="001E3093"/>
    <w:rsid w:val="001E3831"/>
    <w:rsid w:val="001E3E93"/>
    <w:rsid w:val="001E3FA6"/>
    <w:rsid w:val="001E41F3"/>
    <w:rsid w:val="001E445B"/>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0F96"/>
    <w:rsid w:val="003610C8"/>
    <w:rsid w:val="00361F95"/>
    <w:rsid w:val="003621E2"/>
    <w:rsid w:val="003628F9"/>
    <w:rsid w:val="00362B27"/>
    <w:rsid w:val="00363AE3"/>
    <w:rsid w:val="00363D47"/>
    <w:rsid w:val="00363E1E"/>
    <w:rsid w:val="00364561"/>
    <w:rsid w:val="00364884"/>
    <w:rsid w:val="00364CEC"/>
    <w:rsid w:val="003652D6"/>
    <w:rsid w:val="00365800"/>
    <w:rsid w:val="00365D1E"/>
    <w:rsid w:val="00366B0C"/>
    <w:rsid w:val="00366E1E"/>
    <w:rsid w:val="00367E44"/>
    <w:rsid w:val="003709A3"/>
    <w:rsid w:val="00370AFC"/>
    <w:rsid w:val="00370E88"/>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230A"/>
    <w:rsid w:val="00382B4F"/>
    <w:rsid w:val="00382BF3"/>
    <w:rsid w:val="0038443A"/>
    <w:rsid w:val="003848A6"/>
    <w:rsid w:val="003854A3"/>
    <w:rsid w:val="00385FA4"/>
    <w:rsid w:val="003862A7"/>
    <w:rsid w:val="00386372"/>
    <w:rsid w:val="003906D3"/>
    <w:rsid w:val="00391B2F"/>
    <w:rsid w:val="003922FC"/>
    <w:rsid w:val="0039490B"/>
    <w:rsid w:val="00394C4E"/>
    <w:rsid w:val="00394D90"/>
    <w:rsid w:val="00395D27"/>
    <w:rsid w:val="00396196"/>
    <w:rsid w:val="0039625F"/>
    <w:rsid w:val="00397476"/>
    <w:rsid w:val="003A04C3"/>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40E"/>
    <w:rsid w:val="003E3627"/>
    <w:rsid w:val="003E37F9"/>
    <w:rsid w:val="003E3A65"/>
    <w:rsid w:val="003E3BEC"/>
    <w:rsid w:val="003E4498"/>
    <w:rsid w:val="003E670F"/>
    <w:rsid w:val="003E6AED"/>
    <w:rsid w:val="003E6BCE"/>
    <w:rsid w:val="003E711B"/>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6F2B"/>
    <w:rsid w:val="004372AA"/>
    <w:rsid w:val="004376F5"/>
    <w:rsid w:val="00437C3A"/>
    <w:rsid w:val="00441962"/>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481"/>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232E"/>
    <w:rsid w:val="004B24DE"/>
    <w:rsid w:val="004B2514"/>
    <w:rsid w:val="004B26AC"/>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18F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B26"/>
    <w:rsid w:val="004E5C88"/>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CAA"/>
    <w:rsid w:val="00582211"/>
    <w:rsid w:val="00582743"/>
    <w:rsid w:val="00583599"/>
    <w:rsid w:val="00583C9E"/>
    <w:rsid w:val="005844B6"/>
    <w:rsid w:val="00584770"/>
    <w:rsid w:val="00585490"/>
    <w:rsid w:val="00585FE5"/>
    <w:rsid w:val="005864B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C0438"/>
    <w:rsid w:val="005C2260"/>
    <w:rsid w:val="005C3AB3"/>
    <w:rsid w:val="005C404D"/>
    <w:rsid w:val="005C4859"/>
    <w:rsid w:val="005C5AEB"/>
    <w:rsid w:val="005C64D7"/>
    <w:rsid w:val="005C6930"/>
    <w:rsid w:val="005C783C"/>
    <w:rsid w:val="005C7ADE"/>
    <w:rsid w:val="005D0578"/>
    <w:rsid w:val="005D1C1E"/>
    <w:rsid w:val="005D23E4"/>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6004E2"/>
    <w:rsid w:val="00600701"/>
    <w:rsid w:val="00601706"/>
    <w:rsid w:val="00601A8C"/>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18C"/>
    <w:rsid w:val="006F62AA"/>
    <w:rsid w:val="006F6CEC"/>
    <w:rsid w:val="007006CE"/>
    <w:rsid w:val="00701D34"/>
    <w:rsid w:val="007027A3"/>
    <w:rsid w:val="00702FAD"/>
    <w:rsid w:val="0070316E"/>
    <w:rsid w:val="00703BBD"/>
    <w:rsid w:val="00703E64"/>
    <w:rsid w:val="0070458B"/>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936"/>
    <w:rsid w:val="00805ED6"/>
    <w:rsid w:val="0080618C"/>
    <w:rsid w:val="008068E8"/>
    <w:rsid w:val="00806C4B"/>
    <w:rsid w:val="00810537"/>
    <w:rsid w:val="00811A9C"/>
    <w:rsid w:val="00811ACB"/>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26D"/>
    <w:rsid w:val="00875E87"/>
    <w:rsid w:val="00875EEC"/>
    <w:rsid w:val="00876111"/>
    <w:rsid w:val="00876B5C"/>
    <w:rsid w:val="008771D9"/>
    <w:rsid w:val="008777E5"/>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2289"/>
    <w:rsid w:val="009729A5"/>
    <w:rsid w:val="00973462"/>
    <w:rsid w:val="009735A6"/>
    <w:rsid w:val="00974365"/>
    <w:rsid w:val="00975666"/>
    <w:rsid w:val="009763FB"/>
    <w:rsid w:val="00977159"/>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8A"/>
    <w:rsid w:val="009A40F9"/>
    <w:rsid w:val="009A413C"/>
    <w:rsid w:val="009A45DA"/>
    <w:rsid w:val="009A6082"/>
    <w:rsid w:val="009A715C"/>
    <w:rsid w:val="009A7A47"/>
    <w:rsid w:val="009A7D00"/>
    <w:rsid w:val="009A7E04"/>
    <w:rsid w:val="009B0494"/>
    <w:rsid w:val="009B1F36"/>
    <w:rsid w:val="009B262A"/>
    <w:rsid w:val="009B29D5"/>
    <w:rsid w:val="009B2AF7"/>
    <w:rsid w:val="009B2DF8"/>
    <w:rsid w:val="009B4359"/>
    <w:rsid w:val="009B4EA0"/>
    <w:rsid w:val="009B5DA8"/>
    <w:rsid w:val="009B72F9"/>
    <w:rsid w:val="009B77A7"/>
    <w:rsid w:val="009C091F"/>
    <w:rsid w:val="009C0EE1"/>
    <w:rsid w:val="009C0F68"/>
    <w:rsid w:val="009C2553"/>
    <w:rsid w:val="009C263A"/>
    <w:rsid w:val="009C347A"/>
    <w:rsid w:val="009C3A01"/>
    <w:rsid w:val="009C4A98"/>
    <w:rsid w:val="009C50E8"/>
    <w:rsid w:val="009C56C6"/>
    <w:rsid w:val="009C570A"/>
    <w:rsid w:val="009C6612"/>
    <w:rsid w:val="009C6FD0"/>
    <w:rsid w:val="009C70C2"/>
    <w:rsid w:val="009C72C0"/>
    <w:rsid w:val="009C78FF"/>
    <w:rsid w:val="009D1EAC"/>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4743"/>
    <w:rsid w:val="009E49A5"/>
    <w:rsid w:val="009E49D8"/>
    <w:rsid w:val="009E4F10"/>
    <w:rsid w:val="009E59CA"/>
    <w:rsid w:val="009E5A83"/>
    <w:rsid w:val="009E5B35"/>
    <w:rsid w:val="009E5B6E"/>
    <w:rsid w:val="009E660E"/>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1F28"/>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2A36"/>
    <w:rsid w:val="00AC45C1"/>
    <w:rsid w:val="00AC4A40"/>
    <w:rsid w:val="00AC4C4A"/>
    <w:rsid w:val="00AC530D"/>
    <w:rsid w:val="00AC5D5A"/>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B50"/>
    <w:rsid w:val="00B34E52"/>
    <w:rsid w:val="00B357AF"/>
    <w:rsid w:val="00B358A9"/>
    <w:rsid w:val="00B35E73"/>
    <w:rsid w:val="00B35F55"/>
    <w:rsid w:val="00B362CF"/>
    <w:rsid w:val="00B3631B"/>
    <w:rsid w:val="00B378EF"/>
    <w:rsid w:val="00B37A2F"/>
    <w:rsid w:val="00B37B85"/>
    <w:rsid w:val="00B37EF5"/>
    <w:rsid w:val="00B40410"/>
    <w:rsid w:val="00B41E37"/>
    <w:rsid w:val="00B41F5F"/>
    <w:rsid w:val="00B42594"/>
    <w:rsid w:val="00B434EA"/>
    <w:rsid w:val="00B43705"/>
    <w:rsid w:val="00B447E9"/>
    <w:rsid w:val="00B452B6"/>
    <w:rsid w:val="00B46AEC"/>
    <w:rsid w:val="00B46CCB"/>
    <w:rsid w:val="00B47C82"/>
    <w:rsid w:val="00B50FEF"/>
    <w:rsid w:val="00B51C36"/>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4EEF"/>
    <w:rsid w:val="00BC523C"/>
    <w:rsid w:val="00BC567A"/>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33D1"/>
    <w:rsid w:val="00C03FC9"/>
    <w:rsid w:val="00C048CC"/>
    <w:rsid w:val="00C049CC"/>
    <w:rsid w:val="00C0555A"/>
    <w:rsid w:val="00C05BE7"/>
    <w:rsid w:val="00C062BF"/>
    <w:rsid w:val="00C07354"/>
    <w:rsid w:val="00C074EC"/>
    <w:rsid w:val="00C07A9D"/>
    <w:rsid w:val="00C10745"/>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985"/>
    <w:rsid w:val="00C959F6"/>
    <w:rsid w:val="00C96E06"/>
    <w:rsid w:val="00C97877"/>
    <w:rsid w:val="00C97CFF"/>
    <w:rsid w:val="00CA1229"/>
    <w:rsid w:val="00CA1472"/>
    <w:rsid w:val="00CA171A"/>
    <w:rsid w:val="00CA1725"/>
    <w:rsid w:val="00CA1BA8"/>
    <w:rsid w:val="00CA2347"/>
    <w:rsid w:val="00CA2543"/>
    <w:rsid w:val="00CA25C3"/>
    <w:rsid w:val="00CA26DC"/>
    <w:rsid w:val="00CA2AE0"/>
    <w:rsid w:val="00CA398E"/>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7940"/>
    <w:rsid w:val="00CC7994"/>
    <w:rsid w:val="00CD01B9"/>
    <w:rsid w:val="00CD05A4"/>
    <w:rsid w:val="00CD109E"/>
    <w:rsid w:val="00CD16D4"/>
    <w:rsid w:val="00CD19F7"/>
    <w:rsid w:val="00CD1B91"/>
    <w:rsid w:val="00CD267C"/>
    <w:rsid w:val="00CD2D8E"/>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12E7"/>
    <w:rsid w:val="00D726FC"/>
    <w:rsid w:val="00D72F57"/>
    <w:rsid w:val="00D7346E"/>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1CA5"/>
    <w:rsid w:val="00DC25CD"/>
    <w:rsid w:val="00DC29D3"/>
    <w:rsid w:val="00DC2E80"/>
    <w:rsid w:val="00DC3016"/>
    <w:rsid w:val="00DC40EC"/>
    <w:rsid w:val="00DC4AA9"/>
    <w:rsid w:val="00DC695D"/>
    <w:rsid w:val="00DC6C0E"/>
    <w:rsid w:val="00DC73C6"/>
    <w:rsid w:val="00DD02FE"/>
    <w:rsid w:val="00DD0856"/>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5174"/>
    <w:rsid w:val="00DF53D1"/>
    <w:rsid w:val="00DF57EE"/>
    <w:rsid w:val="00DF5BDD"/>
    <w:rsid w:val="00DF618F"/>
    <w:rsid w:val="00DF6838"/>
    <w:rsid w:val="00E004A9"/>
    <w:rsid w:val="00E00C8C"/>
    <w:rsid w:val="00E017EB"/>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04A"/>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3802"/>
    <w:rsid w:val="00E548C6"/>
    <w:rsid w:val="00E5618E"/>
    <w:rsid w:val="00E566F2"/>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0FA"/>
    <w:rsid w:val="00E97245"/>
    <w:rsid w:val="00E974A6"/>
    <w:rsid w:val="00EA1435"/>
    <w:rsid w:val="00EA14DE"/>
    <w:rsid w:val="00EA2818"/>
    <w:rsid w:val="00EA3BA2"/>
    <w:rsid w:val="00EA4C54"/>
    <w:rsid w:val="00EA56BA"/>
    <w:rsid w:val="00EA5717"/>
    <w:rsid w:val="00EA6721"/>
    <w:rsid w:val="00EA6D9B"/>
    <w:rsid w:val="00EA7DC2"/>
    <w:rsid w:val="00EB02C3"/>
    <w:rsid w:val="00EB0E2D"/>
    <w:rsid w:val="00EB113D"/>
    <w:rsid w:val="00EB17D9"/>
    <w:rsid w:val="00EB190E"/>
    <w:rsid w:val="00EB2217"/>
    <w:rsid w:val="00EB27C5"/>
    <w:rsid w:val="00EB2F31"/>
    <w:rsid w:val="00EB3954"/>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0C"/>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B89"/>
    <w:rsid w:val="00FF1CD5"/>
    <w:rsid w:val="00FF24E0"/>
    <w:rsid w:val="00FF2846"/>
    <w:rsid w:val="00FF28B3"/>
    <w:rsid w:val="00FF39F7"/>
    <w:rsid w:val="00FF4A71"/>
    <w:rsid w:val="00FF4EBA"/>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4470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28C4B-428F-4947-8500-71A3BC21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3153</Words>
  <Characters>17977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2017-09-29T18:41:00Z</dcterms:created>
  <dcterms:modified xsi:type="dcterms:W3CDTF">2017-10-02T20:07:00Z</dcterms:modified>
</cp:coreProperties>
</file>